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09C98896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5D3435">
        <w:t>FF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06E1D060" w:rsidR="007D7BDE" w:rsidRPr="00556197" w:rsidRDefault="007F7C9A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552A">
              <w:rPr>
                <w:rFonts w:ascii="Arial" w:hAnsi="Arial" w:cs="Arial"/>
                <w:b/>
                <w:bCs/>
              </w:rPr>
              <w:t>12/02/2026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2173E0D8" w:rsidR="007D7BDE" w:rsidRPr="00556197" w:rsidRDefault="007F7C9A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552A">
              <w:rPr>
                <w:rFonts w:ascii="Arial" w:hAnsi="Arial" w:cs="Arial"/>
                <w:b/>
              </w:rPr>
              <w:t>12/03/202</w:t>
            </w:r>
            <w:r w:rsidR="00581221">
              <w:rPr>
                <w:rFonts w:ascii="Arial" w:hAnsi="Arial" w:cs="Arial"/>
                <w:b/>
              </w:rPr>
              <w:t>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5D8A8792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 w:rsidR="00DB4F9A">
              <w:rPr>
                <w:rFonts w:ascii="Arial" w:hAnsi="Arial" w:cs="Arial"/>
                <w:bCs/>
              </w:rPr>
              <w:t xml:space="preserve">Agnes </w:t>
            </w:r>
            <w:proofErr w:type="gramStart"/>
            <w:r w:rsidR="00DB4F9A">
              <w:rPr>
                <w:rFonts w:ascii="Arial" w:hAnsi="Arial" w:cs="Arial"/>
                <w:bCs/>
              </w:rPr>
              <w:t>Mdzomba ,</w:t>
            </w:r>
            <w:proofErr w:type="gramEnd"/>
            <w:r w:rsidR="00DB4F9A">
              <w:rPr>
                <w:rFonts w:ascii="Arial" w:hAnsi="Arial" w:cs="Arial"/>
                <w:bCs/>
              </w:rPr>
              <w:t xml:space="preserve"> </w:t>
            </w:r>
            <w:hyperlink r:id="rId10" w:history="1">
              <w:r w:rsidR="00DB4F9A" w:rsidRPr="00983C34">
                <w:rPr>
                  <w:rStyle w:val="Hyperlink"/>
                  <w:rFonts w:ascii="Arial" w:hAnsi="Arial" w:cs="Arial"/>
                  <w:bCs/>
                </w:rPr>
                <w:t>mdzombaa@kebs.org</w:t>
              </w:r>
            </w:hyperlink>
            <w:r w:rsidR="00DB4F9A">
              <w:rPr>
                <w:rFonts w:ascii="Arial" w:hAnsi="Arial" w:cs="Arial"/>
                <w:bCs/>
              </w:rPr>
              <w:t xml:space="preserve"> 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4237A76C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:……</w:t>
      </w:r>
      <w:r w:rsidR="007F7C9A">
        <w:rPr>
          <w:rFonts w:ascii="Arial" w:hAnsi="Arial" w:cs="Arial"/>
        </w:rPr>
        <w:t>( See</w:t>
      </w:r>
      <w:proofErr w:type="gramEnd"/>
      <w:r w:rsidR="007F7C9A">
        <w:rPr>
          <w:rFonts w:ascii="Arial" w:hAnsi="Arial" w:cs="Arial"/>
        </w:rPr>
        <w:t xml:space="preserve"> table </w:t>
      </w:r>
      <w:proofErr w:type="gramStart"/>
      <w:r w:rsidR="007F7C9A">
        <w:rPr>
          <w:rFonts w:ascii="Arial" w:hAnsi="Arial" w:cs="Arial"/>
        </w:rPr>
        <w:t>below)…</w:t>
      </w:r>
      <w:proofErr w:type="gramEnd"/>
      <w:r w:rsidR="007F7C9A">
        <w:rPr>
          <w:rFonts w:ascii="Arial" w:hAnsi="Arial" w:cs="Arial"/>
        </w:rPr>
        <w:t>………</w:t>
      </w:r>
      <w:r w:rsidRPr="005561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…(</w:t>
      </w:r>
      <w:proofErr w:type="gramEnd"/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proofErr w:type="gramStart"/>
      <w:r w:rsidRPr="00556197">
        <w:rPr>
          <w:rFonts w:ascii="Arial" w:hAnsi="Arial" w:cs="Arial"/>
        </w:rPr>
        <w:t>respondent)…</w:t>
      </w:r>
      <w:proofErr w:type="gramEnd"/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On behalf of</w:t>
      </w:r>
      <w:proofErr w:type="gramStart"/>
      <w:r w:rsidRPr="00556197">
        <w:rPr>
          <w:rFonts w:ascii="Arial" w:hAnsi="Arial" w:cs="Arial"/>
        </w:rPr>
        <w:t xml:space="preserve">: </w:t>
      </w:r>
      <w:r w:rsidRPr="00556197">
        <w:rPr>
          <w:rFonts w:ascii="Arial" w:hAnsi="Arial" w:cs="Arial"/>
        </w:rPr>
        <w:tab/>
        <w:t>(</w:t>
      </w:r>
      <w:proofErr w:type="gramEnd"/>
      <w:r w:rsidRPr="00556197">
        <w:rPr>
          <w:rFonts w:ascii="Arial" w:hAnsi="Arial" w:cs="Arial"/>
        </w:rPr>
        <w:t>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1E19ECEE" w:rsidR="007D7BDE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lastRenderedPageBreak/>
        <w:t>NOTE</w:t>
      </w:r>
      <w:proofErr w:type="gramStart"/>
      <w:r w:rsidRPr="00556197">
        <w:rPr>
          <w:rFonts w:ascii="Arial" w:hAnsi="Arial" w:cs="Arial"/>
          <w:b/>
          <w:bCs/>
        </w:rPr>
        <w:t xml:space="preserve">:  </w:t>
      </w:r>
      <w:r w:rsidRPr="00556197">
        <w:rPr>
          <w:rFonts w:ascii="Arial" w:hAnsi="Arial" w:cs="Arial"/>
          <w:bCs/>
        </w:rPr>
        <w:t>Absence</w:t>
      </w:r>
      <w:proofErr w:type="gramEnd"/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02A92A30" w14:textId="77777777" w:rsidR="007F7C9A" w:rsidRPr="00556197" w:rsidRDefault="007F7C9A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B99056E" w14:textId="7F8735D6" w:rsidR="007D7BDE" w:rsidRPr="007F7C9A" w:rsidRDefault="007D7BDE" w:rsidP="007D7BDE">
      <w:pPr>
        <w:rPr>
          <w:rFonts w:ascii="Verdana" w:hAnsi="Verdana"/>
          <w:b/>
          <w:color w:val="000000"/>
          <w:sz w:val="16"/>
          <w:szCs w:val="16"/>
        </w:rPr>
      </w:pPr>
    </w:p>
    <w:p w14:paraId="012946A9" w14:textId="76B8C05A" w:rsidR="003D15F4" w:rsidRPr="007F7C9A" w:rsidRDefault="00AE5162" w:rsidP="007D7BD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BIOTECHNOLOGY STANDARDS</w:t>
      </w:r>
      <w:r w:rsidR="007F7C9A" w:rsidRPr="007F7C9A">
        <w:rPr>
          <w:rFonts w:ascii="Arial" w:hAnsi="Arial" w:cs="Arial"/>
          <w:b/>
          <w:color w:val="000000"/>
          <w:sz w:val="22"/>
          <w:szCs w:val="22"/>
        </w:rPr>
        <w:t xml:space="preserve"> UNDER SYSTEMATIC REVIEW</w:t>
      </w:r>
    </w:p>
    <w:p w14:paraId="529F6A2B" w14:textId="77777777" w:rsidR="007F7C9A" w:rsidRPr="007F7C9A" w:rsidRDefault="007F7C9A" w:rsidP="007D7BDE">
      <w:pPr>
        <w:rPr>
          <w:rFonts w:ascii="Verdana" w:hAnsi="Verdana"/>
          <w:b/>
          <w:color w:val="000000"/>
          <w:sz w:val="16"/>
          <w:szCs w:val="16"/>
        </w:rPr>
      </w:pP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810"/>
        <w:gridCol w:w="1980"/>
        <w:gridCol w:w="7830"/>
      </w:tblGrid>
      <w:tr w:rsidR="007F7C9A" w14:paraId="22BAD2D7" w14:textId="77777777" w:rsidTr="0036636C">
        <w:tc>
          <w:tcPr>
            <w:tcW w:w="810" w:type="dxa"/>
          </w:tcPr>
          <w:p w14:paraId="3907E81B" w14:textId="6BAEA0AD" w:rsidR="007F7C9A" w:rsidRPr="002C5C6D" w:rsidRDefault="007F7C9A" w:rsidP="007D7BDE">
            <w:pPr>
              <w:rPr>
                <w:rFonts w:ascii="Arial" w:hAnsi="Arial" w:cs="Arial"/>
                <w:b/>
                <w:color w:val="000000"/>
              </w:rPr>
            </w:pPr>
            <w:r w:rsidRPr="002C5C6D">
              <w:rPr>
                <w:rFonts w:ascii="Arial" w:hAnsi="Arial" w:cs="Arial"/>
                <w:b/>
                <w:color w:val="000000"/>
              </w:rPr>
              <w:t>S/NO</w:t>
            </w:r>
          </w:p>
        </w:tc>
        <w:tc>
          <w:tcPr>
            <w:tcW w:w="1980" w:type="dxa"/>
          </w:tcPr>
          <w:p w14:paraId="7F6036DC" w14:textId="153E7F1D" w:rsidR="007F7C9A" w:rsidRPr="002C5C6D" w:rsidRDefault="007F7C9A" w:rsidP="007D7BDE">
            <w:pPr>
              <w:rPr>
                <w:rFonts w:ascii="Arial" w:hAnsi="Arial" w:cs="Arial"/>
                <w:b/>
                <w:color w:val="000000"/>
              </w:rPr>
            </w:pPr>
            <w:r w:rsidRPr="002C5C6D">
              <w:rPr>
                <w:rFonts w:ascii="Arial" w:hAnsi="Arial" w:cs="Arial"/>
                <w:b/>
                <w:color w:val="000000"/>
              </w:rPr>
              <w:t>KS.NO</w:t>
            </w:r>
          </w:p>
        </w:tc>
        <w:tc>
          <w:tcPr>
            <w:tcW w:w="7830" w:type="dxa"/>
          </w:tcPr>
          <w:p w14:paraId="26718BC8" w14:textId="77777777" w:rsidR="007F7C9A" w:rsidRPr="002C5C6D" w:rsidRDefault="007F7C9A" w:rsidP="007D7BDE">
            <w:pPr>
              <w:rPr>
                <w:rFonts w:ascii="Arial" w:hAnsi="Arial" w:cs="Arial"/>
                <w:b/>
                <w:color w:val="000000"/>
              </w:rPr>
            </w:pPr>
            <w:r w:rsidRPr="002C5C6D">
              <w:rPr>
                <w:rFonts w:ascii="Arial" w:hAnsi="Arial" w:cs="Arial"/>
                <w:b/>
                <w:color w:val="000000"/>
              </w:rPr>
              <w:t>TITTLE</w:t>
            </w:r>
          </w:p>
          <w:p w14:paraId="29259B12" w14:textId="2B9FA45F" w:rsidR="007F7C9A" w:rsidRPr="002C5C6D" w:rsidRDefault="007F7C9A" w:rsidP="007D7BD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57FAF" w14:paraId="06F62670" w14:textId="77777777" w:rsidTr="0036636C">
        <w:trPr>
          <w:trHeight w:val="619"/>
        </w:trPr>
        <w:tc>
          <w:tcPr>
            <w:tcW w:w="810" w:type="dxa"/>
          </w:tcPr>
          <w:p w14:paraId="594F49B7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1CBD788" w14:textId="28AFE164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2335:2011 </w:t>
            </w:r>
          </w:p>
        </w:tc>
        <w:tc>
          <w:tcPr>
            <w:tcW w:w="7830" w:type="dxa"/>
          </w:tcPr>
          <w:p w14:paraId="14186562" w14:textId="7E6685D4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Foodstuffs-methods of analysis for the detection of genetically modified organisms and derived products — Sampling strategies </w:t>
            </w:r>
          </w:p>
        </w:tc>
      </w:tr>
      <w:tr w:rsidR="00057FAF" w14:paraId="453290F3" w14:textId="77777777" w:rsidTr="0036636C">
        <w:trPr>
          <w:trHeight w:val="547"/>
        </w:trPr>
        <w:tc>
          <w:tcPr>
            <w:tcW w:w="810" w:type="dxa"/>
          </w:tcPr>
          <w:p w14:paraId="0D07912D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592E68" w14:textId="3E290150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2293:2011 </w:t>
            </w:r>
          </w:p>
        </w:tc>
        <w:tc>
          <w:tcPr>
            <w:tcW w:w="7830" w:type="dxa"/>
          </w:tcPr>
          <w:p w14:paraId="56563B6C" w14:textId="46243819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Genetically modified organisms and derived products — General guidelines to methods of analysis</w:t>
            </w:r>
          </w:p>
        </w:tc>
      </w:tr>
      <w:tr w:rsidR="00057FAF" w14:paraId="61698261" w14:textId="77777777" w:rsidTr="0036636C">
        <w:trPr>
          <w:trHeight w:val="574"/>
        </w:trPr>
        <w:tc>
          <w:tcPr>
            <w:tcW w:w="810" w:type="dxa"/>
          </w:tcPr>
          <w:p w14:paraId="2B1EE85D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C50350" w14:textId="7688EF58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2570:2015 </w:t>
            </w:r>
          </w:p>
        </w:tc>
        <w:tc>
          <w:tcPr>
            <w:tcW w:w="7830" w:type="dxa"/>
          </w:tcPr>
          <w:p w14:paraId="301CF180" w14:textId="7E53021E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Genetically modified organisms or their derived products — Guidelines for surveillance</w:t>
            </w:r>
          </w:p>
        </w:tc>
      </w:tr>
      <w:tr w:rsidR="00057FAF" w14:paraId="363E8E6E" w14:textId="77777777" w:rsidTr="0036636C">
        <w:trPr>
          <w:trHeight w:val="808"/>
        </w:trPr>
        <w:tc>
          <w:tcPr>
            <w:tcW w:w="810" w:type="dxa"/>
          </w:tcPr>
          <w:p w14:paraId="18B8AF6D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2EB242" w14:textId="5185428A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CAC/GL 74:2010 </w:t>
            </w:r>
          </w:p>
        </w:tc>
        <w:tc>
          <w:tcPr>
            <w:tcW w:w="7830" w:type="dxa"/>
          </w:tcPr>
          <w:p w14:paraId="1A79304C" w14:textId="00569BE7" w:rsidR="00057FAF" w:rsidRPr="0036636C" w:rsidRDefault="00057FAF" w:rsidP="00057FA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Guidelines on performance criteria and validation of methods for detection, identification and quantification and specification of specific DNA sequences and specific proteins in food</w:t>
            </w:r>
          </w:p>
        </w:tc>
      </w:tr>
      <w:tr w:rsidR="00057FAF" w14:paraId="1B993150" w14:textId="77777777" w:rsidTr="0036636C">
        <w:trPr>
          <w:trHeight w:val="889"/>
        </w:trPr>
        <w:tc>
          <w:tcPr>
            <w:tcW w:w="810" w:type="dxa"/>
          </w:tcPr>
          <w:p w14:paraId="234B86F6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3855DCA" w14:textId="15A79263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21569-4:2016 </w:t>
            </w:r>
          </w:p>
        </w:tc>
        <w:tc>
          <w:tcPr>
            <w:tcW w:w="7830" w:type="dxa"/>
          </w:tcPr>
          <w:p w14:paraId="4E6BE0BA" w14:textId="58A78C8C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Horizontal methods for molecular biomarker analysis — Methods of analysis for the detection of genetically modified organisms and derived products — Part 4: Real-time PCR based screening methods for the detection of the P-</w:t>
            </w:r>
            <w:proofErr w:type="spellStart"/>
            <w:r w:rsidRPr="0036636C">
              <w:rPr>
                <w:rFonts w:ascii="Arial Narrow" w:hAnsi="Arial Narrow"/>
                <w:sz w:val="22"/>
                <w:szCs w:val="22"/>
              </w:rPr>
              <w:t>nos</w:t>
            </w:r>
            <w:proofErr w:type="spellEnd"/>
            <w:r w:rsidRPr="0036636C">
              <w:rPr>
                <w:rFonts w:ascii="Arial Narrow" w:hAnsi="Arial Narrow"/>
                <w:sz w:val="22"/>
                <w:szCs w:val="22"/>
              </w:rPr>
              <w:t xml:space="preserve"> and P-</w:t>
            </w:r>
            <w:proofErr w:type="spellStart"/>
            <w:r w:rsidRPr="0036636C">
              <w:rPr>
                <w:rFonts w:ascii="Arial Narrow" w:hAnsi="Arial Narrow"/>
                <w:sz w:val="22"/>
                <w:szCs w:val="22"/>
              </w:rPr>
              <w:t>nos</w:t>
            </w:r>
            <w:proofErr w:type="spellEnd"/>
            <w:r w:rsidRPr="0036636C">
              <w:rPr>
                <w:rFonts w:ascii="Arial Narrow" w:hAnsi="Arial Narrow"/>
                <w:sz w:val="22"/>
                <w:szCs w:val="22"/>
              </w:rPr>
              <w:t>-</w:t>
            </w:r>
            <w:proofErr w:type="spellStart"/>
            <w:r w:rsidRPr="0036636C">
              <w:rPr>
                <w:rFonts w:ascii="Arial Narrow" w:hAnsi="Arial Narrow"/>
                <w:sz w:val="22"/>
                <w:szCs w:val="22"/>
              </w:rPr>
              <w:t>nptII</w:t>
            </w:r>
            <w:proofErr w:type="spellEnd"/>
            <w:r w:rsidRPr="0036636C">
              <w:rPr>
                <w:rFonts w:ascii="Arial Narrow" w:hAnsi="Arial Narrow"/>
                <w:sz w:val="22"/>
                <w:szCs w:val="22"/>
              </w:rPr>
              <w:t xml:space="preserve"> DNA sequences</w:t>
            </w:r>
          </w:p>
        </w:tc>
      </w:tr>
      <w:tr w:rsidR="00057FAF" w14:paraId="2B256594" w14:textId="77777777" w:rsidTr="0036636C">
        <w:tc>
          <w:tcPr>
            <w:tcW w:w="810" w:type="dxa"/>
          </w:tcPr>
          <w:p w14:paraId="78BC0D2F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52B524" w14:textId="2EC7C1FD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21569-5:2016 </w:t>
            </w:r>
          </w:p>
        </w:tc>
        <w:tc>
          <w:tcPr>
            <w:tcW w:w="7830" w:type="dxa"/>
          </w:tcPr>
          <w:p w14:paraId="3CFC03AA" w14:textId="4069DEE0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Horizontal methods for molecular biomarker analysis — Methods of analysis for the detection of genetically modified organisms and derived products — Part 5: Real-time PCR based screening method for the detection of the FMV promoter (P-FMV) DNA sequence</w:t>
            </w:r>
          </w:p>
        </w:tc>
      </w:tr>
      <w:tr w:rsidR="00057FAF" w14:paraId="12484BCF" w14:textId="77777777" w:rsidTr="0036636C">
        <w:trPr>
          <w:trHeight w:val="988"/>
        </w:trPr>
        <w:tc>
          <w:tcPr>
            <w:tcW w:w="810" w:type="dxa"/>
          </w:tcPr>
          <w:p w14:paraId="5B7444CD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80596C" w14:textId="38981AA8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KS ISO/TS 21569-6:2016</w:t>
            </w:r>
          </w:p>
        </w:tc>
        <w:tc>
          <w:tcPr>
            <w:tcW w:w="7830" w:type="dxa"/>
          </w:tcPr>
          <w:p w14:paraId="54F33BC1" w14:textId="3E436C5C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Horizontal methods for molecular biomarker analysis — Methods of analysis for the detection of genetically modified organisms and derived products — Part 6: Real-time PCR based screening methods for the detection of cry1Ab/Ac and Pubi-cry DNA sequences</w:t>
            </w:r>
          </w:p>
        </w:tc>
      </w:tr>
      <w:tr w:rsidR="00057FAF" w14:paraId="67292EBF" w14:textId="77777777" w:rsidTr="0036636C">
        <w:trPr>
          <w:trHeight w:val="493"/>
        </w:trPr>
        <w:tc>
          <w:tcPr>
            <w:tcW w:w="810" w:type="dxa"/>
          </w:tcPr>
          <w:p w14:paraId="4D2424D2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EA55FFB" w14:textId="3BA0CA48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 16577:2016 </w:t>
            </w:r>
          </w:p>
        </w:tc>
        <w:tc>
          <w:tcPr>
            <w:tcW w:w="7830" w:type="dxa"/>
          </w:tcPr>
          <w:p w14:paraId="29601C44" w14:textId="069C0399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KS ISO 16577:2016 Kenya Standard — Molecular biomarker analysis — Terms and definitions</w:t>
            </w:r>
          </w:p>
        </w:tc>
      </w:tr>
      <w:tr w:rsidR="00057FAF" w14:paraId="1F98F5C5" w14:textId="77777777" w:rsidTr="0036636C">
        <w:trPr>
          <w:trHeight w:val="718"/>
        </w:trPr>
        <w:tc>
          <w:tcPr>
            <w:tcW w:w="810" w:type="dxa"/>
          </w:tcPr>
          <w:p w14:paraId="042BE358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BD4E88" w14:textId="227D033A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20224-1:2020 </w:t>
            </w:r>
          </w:p>
        </w:tc>
        <w:tc>
          <w:tcPr>
            <w:tcW w:w="7830" w:type="dxa"/>
          </w:tcPr>
          <w:p w14:paraId="537A8DA6" w14:textId="3B7F3722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1: Bovine DNA detection method, First Edition</w:t>
            </w:r>
          </w:p>
        </w:tc>
      </w:tr>
      <w:tr w:rsidR="00057FAF" w14:paraId="71A7190C" w14:textId="77777777" w:rsidTr="0036636C">
        <w:trPr>
          <w:trHeight w:val="799"/>
        </w:trPr>
        <w:tc>
          <w:tcPr>
            <w:tcW w:w="810" w:type="dxa"/>
          </w:tcPr>
          <w:p w14:paraId="40C4FA40" w14:textId="01F35ED2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FC1354D" w14:textId="30F17E18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20224-2:2020 </w:t>
            </w:r>
          </w:p>
        </w:tc>
        <w:tc>
          <w:tcPr>
            <w:tcW w:w="7830" w:type="dxa"/>
          </w:tcPr>
          <w:p w14:paraId="1226B2D4" w14:textId="1A72FA15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2: Ovine DNA detection method, First Edition</w:t>
            </w:r>
          </w:p>
        </w:tc>
      </w:tr>
      <w:tr w:rsidR="00057FAF" w14:paraId="566FD21F" w14:textId="77777777" w:rsidTr="0036636C">
        <w:trPr>
          <w:trHeight w:val="943"/>
        </w:trPr>
        <w:tc>
          <w:tcPr>
            <w:tcW w:w="810" w:type="dxa"/>
          </w:tcPr>
          <w:p w14:paraId="5169383A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9ED86B" w14:textId="47F0AC3A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20224-3:2020 </w:t>
            </w:r>
          </w:p>
        </w:tc>
        <w:tc>
          <w:tcPr>
            <w:tcW w:w="7830" w:type="dxa"/>
          </w:tcPr>
          <w:p w14:paraId="04E1686D" w14:textId="770C1A8A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3: Porcine DNA detection method grain — Specification, First Edition</w:t>
            </w:r>
          </w:p>
        </w:tc>
      </w:tr>
      <w:tr w:rsidR="00057FAF" w14:paraId="74A0D56C" w14:textId="77777777" w:rsidTr="0036636C">
        <w:trPr>
          <w:trHeight w:val="799"/>
        </w:trPr>
        <w:tc>
          <w:tcPr>
            <w:tcW w:w="810" w:type="dxa"/>
          </w:tcPr>
          <w:p w14:paraId="4484D1AE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66CDA80" w14:textId="2663086F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20224-4:2020 </w:t>
            </w:r>
          </w:p>
        </w:tc>
        <w:tc>
          <w:tcPr>
            <w:tcW w:w="7830" w:type="dxa"/>
          </w:tcPr>
          <w:p w14:paraId="0907359F" w14:textId="40475E2B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4: Chicken DNA detection method, First Edition</w:t>
            </w:r>
          </w:p>
        </w:tc>
      </w:tr>
      <w:tr w:rsidR="00057FAF" w14:paraId="520BB82C" w14:textId="77777777" w:rsidTr="0036636C">
        <w:trPr>
          <w:trHeight w:val="763"/>
        </w:trPr>
        <w:tc>
          <w:tcPr>
            <w:tcW w:w="810" w:type="dxa"/>
          </w:tcPr>
          <w:p w14:paraId="3B87C1E9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26E394" w14:textId="1A2A1C9A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20224-5:2020 </w:t>
            </w:r>
          </w:p>
        </w:tc>
        <w:tc>
          <w:tcPr>
            <w:tcW w:w="7830" w:type="dxa"/>
          </w:tcPr>
          <w:p w14:paraId="08F5A01A" w14:textId="5C97F033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5: Goat DNA detection method, First Edition</w:t>
            </w:r>
          </w:p>
        </w:tc>
      </w:tr>
      <w:tr w:rsidR="00057FAF" w14:paraId="52DB049C" w14:textId="77777777" w:rsidTr="0036636C">
        <w:trPr>
          <w:trHeight w:val="745"/>
        </w:trPr>
        <w:tc>
          <w:tcPr>
            <w:tcW w:w="810" w:type="dxa"/>
          </w:tcPr>
          <w:p w14:paraId="596DD516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594A553" w14:textId="5B98EA4B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KSISO/TS 20224-6:2020 </w:t>
            </w:r>
          </w:p>
        </w:tc>
        <w:tc>
          <w:tcPr>
            <w:tcW w:w="7830" w:type="dxa"/>
          </w:tcPr>
          <w:p w14:paraId="1297566B" w14:textId="4BE6AD78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6: Horse DNA detection method, First Edition</w:t>
            </w:r>
          </w:p>
        </w:tc>
      </w:tr>
      <w:tr w:rsidR="00057FAF" w14:paraId="60BCE1D3" w14:textId="77777777" w:rsidTr="0036636C">
        <w:trPr>
          <w:trHeight w:val="898"/>
        </w:trPr>
        <w:tc>
          <w:tcPr>
            <w:tcW w:w="810" w:type="dxa"/>
          </w:tcPr>
          <w:p w14:paraId="01856813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F66097" w14:textId="14612680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20224-7:2020 </w:t>
            </w:r>
          </w:p>
        </w:tc>
        <w:tc>
          <w:tcPr>
            <w:tcW w:w="7830" w:type="dxa"/>
          </w:tcPr>
          <w:p w14:paraId="07E469D6" w14:textId="7132B8FB" w:rsidR="0036636C" w:rsidRPr="0036636C" w:rsidRDefault="00057FAF" w:rsidP="0036636C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Detection of animal-derived materials in foodstuffs and feedstuffs by real-time PCR — Part 7: Donkey DNA detection method, First Edition</w:t>
            </w:r>
          </w:p>
        </w:tc>
      </w:tr>
      <w:tr w:rsidR="00057FAF" w14:paraId="4F4C0A7C" w14:textId="77777777" w:rsidTr="0036636C">
        <w:trPr>
          <w:trHeight w:val="1249"/>
        </w:trPr>
        <w:tc>
          <w:tcPr>
            <w:tcW w:w="810" w:type="dxa"/>
          </w:tcPr>
          <w:p w14:paraId="72309C92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F38659" w14:textId="1B29FD54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21569-3:2020 </w:t>
            </w:r>
          </w:p>
        </w:tc>
        <w:tc>
          <w:tcPr>
            <w:tcW w:w="7830" w:type="dxa"/>
          </w:tcPr>
          <w:p w14:paraId="1275E12C" w14:textId="34E83AB6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Horizontal methods for molecular biomarker Analysis-Methods of analysis for the detection of genetically modified organisms and derived products — Part 3: Construct-specific real-time PCR method for determination of P35S-pat-sequence for screening genetically modified organisms, Second Edition</w:t>
            </w:r>
          </w:p>
        </w:tc>
      </w:tr>
      <w:tr w:rsidR="00057FAF" w14:paraId="141DE220" w14:textId="77777777" w:rsidTr="0036636C">
        <w:trPr>
          <w:trHeight w:val="853"/>
        </w:trPr>
        <w:tc>
          <w:tcPr>
            <w:tcW w:w="810" w:type="dxa"/>
          </w:tcPr>
          <w:p w14:paraId="2124A7AB" w14:textId="77777777" w:rsidR="00057FAF" w:rsidRPr="0036636C" w:rsidRDefault="00057FAF" w:rsidP="00057FA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4111B5" w14:textId="4C211EA0" w:rsidR="00057FAF" w:rsidRPr="0036636C" w:rsidRDefault="00057FAF" w:rsidP="00057FAF">
            <w:pPr>
              <w:rPr>
                <w:rFonts w:ascii="Arial Narrow" w:hAnsi="Arial Narrow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 xml:space="preserve">KS ISO/TS 16393:2019 </w:t>
            </w:r>
          </w:p>
        </w:tc>
        <w:tc>
          <w:tcPr>
            <w:tcW w:w="7830" w:type="dxa"/>
          </w:tcPr>
          <w:p w14:paraId="59510446" w14:textId="2DA0B70B" w:rsidR="00057FAF" w:rsidRPr="0036636C" w:rsidRDefault="00057FAF" w:rsidP="00057F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636C">
              <w:rPr>
                <w:rFonts w:ascii="Arial Narrow" w:hAnsi="Arial Narrow"/>
                <w:sz w:val="22"/>
                <w:szCs w:val="22"/>
              </w:rPr>
              <w:t>Molecular biomarker analysis — Determination of the performance characteristics of qualitative measurement methods and validation of methods, First Edition</w:t>
            </w:r>
          </w:p>
        </w:tc>
      </w:tr>
    </w:tbl>
    <w:p w14:paraId="05652FB9" w14:textId="77777777" w:rsidR="003D15F4" w:rsidRDefault="003D15F4" w:rsidP="007D7BDE">
      <w:pPr>
        <w:rPr>
          <w:rFonts w:ascii="Verdana" w:hAnsi="Verdana"/>
          <w:color w:val="000000"/>
          <w:sz w:val="16"/>
          <w:szCs w:val="16"/>
        </w:rPr>
      </w:pPr>
    </w:p>
    <w:sectPr w:rsidR="003D15F4" w:rsidSect="00EF6812">
      <w:footerReference w:type="default" r:id="rId11"/>
      <w:headerReference w:type="first" r:id="rId12"/>
      <w:footerReference w:type="first" r:id="rId13"/>
      <w:pgSz w:w="11909" w:h="16834" w:code="9"/>
      <w:pgMar w:top="186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CBB5" w14:textId="77777777" w:rsidR="00617581" w:rsidRDefault="00617581" w:rsidP="007D7BDE">
      <w:r>
        <w:separator/>
      </w:r>
    </w:p>
  </w:endnote>
  <w:endnote w:type="continuationSeparator" w:id="0">
    <w:p w14:paraId="03DC0967" w14:textId="77777777" w:rsidR="00617581" w:rsidRDefault="00617581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50F3794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DB4F9A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DB4F9A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A1854AC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DB4F9A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DB4F9A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CFB3" w14:textId="77777777" w:rsidR="00617581" w:rsidRDefault="00617581" w:rsidP="007D7BDE">
      <w:r>
        <w:separator/>
      </w:r>
    </w:p>
  </w:footnote>
  <w:footnote w:type="continuationSeparator" w:id="0">
    <w:p w14:paraId="48A86D3C" w14:textId="77777777" w:rsidR="00617581" w:rsidRDefault="00617581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0D6E9D84" w:rsidR="005D3435" w:rsidRDefault="005D3435" w:rsidP="005D3435">
    <w:pPr>
      <w:pStyle w:val="Header"/>
      <w:jc w:val="center"/>
    </w:pPr>
    <w:r w:rsidRPr="00796352">
      <w:rPr>
        <w:rFonts w:ascii="Arial Narrow" w:hAnsi="Arial Narrow"/>
        <w:noProof/>
        <w:sz w:val="24"/>
        <w:szCs w:val="24"/>
      </w:rPr>
      <w:drawing>
        <wp:inline distT="0" distB="0" distL="0" distR="0" wp14:anchorId="679D98BB" wp14:editId="23F93E96">
          <wp:extent cx="2101515" cy="598532"/>
          <wp:effectExtent l="0" t="0" r="0" b="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7" b="12360"/>
                  <a:stretch>
                    <a:fillRect/>
                  </a:stretch>
                </pic:blipFill>
                <pic:spPr bwMode="auto">
                  <a:xfrm>
                    <a:off x="0" y="0"/>
                    <a:ext cx="2129133" cy="606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64049E0"/>
    <w:multiLevelType w:val="hybridMultilevel"/>
    <w:tmpl w:val="C1E8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1737416">
    <w:abstractNumId w:val="1"/>
  </w:num>
  <w:num w:numId="2" w16cid:durableId="2145536659">
    <w:abstractNumId w:val="0"/>
  </w:num>
  <w:num w:numId="3" w16cid:durableId="668412479">
    <w:abstractNumId w:val="4"/>
  </w:num>
  <w:num w:numId="4" w16cid:durableId="1063986908">
    <w:abstractNumId w:val="2"/>
  </w:num>
  <w:num w:numId="5" w16cid:durableId="1727196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50216"/>
    <w:rsid w:val="00057FAF"/>
    <w:rsid w:val="00074575"/>
    <w:rsid w:val="000A35DF"/>
    <w:rsid w:val="000A5E80"/>
    <w:rsid w:val="000B58B0"/>
    <w:rsid w:val="000C4E32"/>
    <w:rsid w:val="00103C02"/>
    <w:rsid w:val="00146B64"/>
    <w:rsid w:val="00154D57"/>
    <w:rsid w:val="00161F8F"/>
    <w:rsid w:val="00185078"/>
    <w:rsid w:val="001A2CFE"/>
    <w:rsid w:val="001D112C"/>
    <w:rsid w:val="001E2216"/>
    <w:rsid w:val="002236B8"/>
    <w:rsid w:val="00226FF2"/>
    <w:rsid w:val="00241E4B"/>
    <w:rsid w:val="00242755"/>
    <w:rsid w:val="00282D9D"/>
    <w:rsid w:val="002C5C6D"/>
    <w:rsid w:val="002E03CE"/>
    <w:rsid w:val="002E12DF"/>
    <w:rsid w:val="002E3F7C"/>
    <w:rsid w:val="00350BFA"/>
    <w:rsid w:val="0036636C"/>
    <w:rsid w:val="0037216D"/>
    <w:rsid w:val="00393DF6"/>
    <w:rsid w:val="003A2DFD"/>
    <w:rsid w:val="003C4A6C"/>
    <w:rsid w:val="003D15F4"/>
    <w:rsid w:val="003F2C4E"/>
    <w:rsid w:val="00402707"/>
    <w:rsid w:val="004450A1"/>
    <w:rsid w:val="00452734"/>
    <w:rsid w:val="004E249C"/>
    <w:rsid w:val="004E552A"/>
    <w:rsid w:val="00506AFA"/>
    <w:rsid w:val="0052338B"/>
    <w:rsid w:val="00581221"/>
    <w:rsid w:val="005965CF"/>
    <w:rsid w:val="005D0F9C"/>
    <w:rsid w:val="005D3435"/>
    <w:rsid w:val="005D3E09"/>
    <w:rsid w:val="005E2F92"/>
    <w:rsid w:val="00617581"/>
    <w:rsid w:val="00680852"/>
    <w:rsid w:val="006B2D93"/>
    <w:rsid w:val="00703562"/>
    <w:rsid w:val="00703CB1"/>
    <w:rsid w:val="00710322"/>
    <w:rsid w:val="00721799"/>
    <w:rsid w:val="007244A4"/>
    <w:rsid w:val="007505E1"/>
    <w:rsid w:val="00756E07"/>
    <w:rsid w:val="00766B20"/>
    <w:rsid w:val="007A178D"/>
    <w:rsid w:val="007D5546"/>
    <w:rsid w:val="007D7BDE"/>
    <w:rsid w:val="007F7C9A"/>
    <w:rsid w:val="00810E69"/>
    <w:rsid w:val="008367AA"/>
    <w:rsid w:val="008572A5"/>
    <w:rsid w:val="00877DFF"/>
    <w:rsid w:val="00893D7E"/>
    <w:rsid w:val="008B3FDD"/>
    <w:rsid w:val="008C0A2B"/>
    <w:rsid w:val="00936997"/>
    <w:rsid w:val="009850ED"/>
    <w:rsid w:val="00A01303"/>
    <w:rsid w:val="00A15AB7"/>
    <w:rsid w:val="00A87B44"/>
    <w:rsid w:val="00AB16F3"/>
    <w:rsid w:val="00AE5162"/>
    <w:rsid w:val="00B04B5B"/>
    <w:rsid w:val="00B2270E"/>
    <w:rsid w:val="00B636FC"/>
    <w:rsid w:val="00B75B53"/>
    <w:rsid w:val="00BA0183"/>
    <w:rsid w:val="00BE50D8"/>
    <w:rsid w:val="00BF6EDE"/>
    <w:rsid w:val="00C23675"/>
    <w:rsid w:val="00C734AC"/>
    <w:rsid w:val="00C92629"/>
    <w:rsid w:val="00D117E8"/>
    <w:rsid w:val="00D345A4"/>
    <w:rsid w:val="00D711C5"/>
    <w:rsid w:val="00DB4F9A"/>
    <w:rsid w:val="00DC7D31"/>
    <w:rsid w:val="00DE4B09"/>
    <w:rsid w:val="00E00478"/>
    <w:rsid w:val="00E1291B"/>
    <w:rsid w:val="00E25CCB"/>
    <w:rsid w:val="00E41A20"/>
    <w:rsid w:val="00E67378"/>
    <w:rsid w:val="00E84C67"/>
    <w:rsid w:val="00EB7875"/>
    <w:rsid w:val="00EF6812"/>
    <w:rsid w:val="00EF7104"/>
    <w:rsid w:val="00F57A84"/>
    <w:rsid w:val="00F64E1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dzomba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Agnes Mdzomba</cp:lastModifiedBy>
  <cp:revision>5</cp:revision>
  <dcterms:created xsi:type="dcterms:W3CDTF">2026-02-11T13:49:00Z</dcterms:created>
  <dcterms:modified xsi:type="dcterms:W3CDTF">2026-02-12T13:04:00Z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