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14146965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CA24B6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0F2D66" w:rsidRPr="00556197" w14:paraId="4DDAF4A0" w14:textId="77777777" w:rsidTr="000F2D66">
        <w:trPr>
          <w:trHeight w:val="368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606EDCC6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D725CFE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0F2D66" w:rsidRPr="00556197" w14:paraId="7DB7B20B" w14:textId="77777777" w:rsidTr="000F2D66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3566DF1C" w:rsidR="000F2D66" w:rsidRPr="003C3E13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3AE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/01/2026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64E1ECEB" w:rsidR="000F2D66" w:rsidRPr="003C3E13" w:rsidRDefault="009130BA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42A3">
              <w:rPr>
                <w:rFonts w:ascii="Arial" w:hAnsi="Arial" w:cs="Arial"/>
              </w:rPr>
              <w:t>7</w:t>
            </w:r>
            <w:r w:rsidR="000F2D66">
              <w:rPr>
                <w:rFonts w:ascii="Arial" w:hAnsi="Arial" w:cs="Arial"/>
              </w:rPr>
              <w:t>/02/2026</w:t>
            </w:r>
          </w:p>
        </w:tc>
      </w:tr>
      <w:tr w:rsidR="000F2D66" w:rsidRPr="00556197" w14:paraId="0E9E7655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409BF8A1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>
              <w:rPr>
                <w:rFonts w:ascii="Arial" w:hAnsi="Arial" w:cs="Arial"/>
                <w:b/>
                <w:bCs/>
              </w:rPr>
              <w:t>JAMES MAINA MURIITHI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</w:t>
      </w:r>
      <w:proofErr w:type="gramEnd"/>
      <w:r w:rsidRPr="00556197">
        <w:rPr>
          <w:rFonts w:ascii="Arial" w:hAnsi="Arial" w:cs="Arial"/>
        </w:rPr>
        <w:t>………………………...……………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5CFB54A5" w14:textId="77777777" w:rsidR="000F2D66" w:rsidRDefault="000F2D66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26CD5F17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12480-1:1997</w:t>
      </w:r>
      <w:r w:rsidRPr="003E3F50">
        <w:rPr>
          <w:rFonts w:ascii="Arial" w:hAnsi="Arial" w:cs="Arial"/>
          <w:lang w:val="en-KE"/>
        </w:rPr>
        <w:t xml:space="preserve"> Kenya Standard — Cranes safe use Part 1: General</w:t>
      </w:r>
    </w:p>
    <w:p w14:paraId="2FC5AE14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9926-1:1990</w:t>
      </w:r>
      <w:r w:rsidRPr="003E3F50">
        <w:rPr>
          <w:rFonts w:ascii="Arial" w:hAnsi="Arial" w:cs="Arial"/>
          <w:lang w:val="en-KE"/>
        </w:rPr>
        <w:t xml:space="preserve"> Kenya Standard — Cranes training of drivers Part 1: General</w:t>
      </w:r>
    </w:p>
    <w:p w14:paraId="4DB3FBFF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12480-1:1997</w:t>
      </w:r>
      <w:r w:rsidRPr="003E3F50">
        <w:rPr>
          <w:rFonts w:ascii="Arial" w:hAnsi="Arial" w:cs="Arial"/>
          <w:lang w:val="en-KE"/>
        </w:rPr>
        <w:t xml:space="preserve"> Kenya Standard — Cranes safe use Part 1: General</w:t>
      </w:r>
    </w:p>
    <w:p w14:paraId="0CD75176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15513:2000</w:t>
      </w:r>
      <w:r w:rsidRPr="003E3F50">
        <w:rPr>
          <w:rFonts w:ascii="Arial" w:hAnsi="Arial" w:cs="Arial"/>
          <w:lang w:val="en-KE"/>
        </w:rPr>
        <w:t xml:space="preserve"> Kenya Standard — Crane competency — Requirements for crane drivers’ </w:t>
      </w:r>
      <w:proofErr w:type="gramStart"/>
      <w:r w:rsidRPr="003E3F50">
        <w:rPr>
          <w:rFonts w:ascii="Arial" w:hAnsi="Arial" w:cs="Arial"/>
          <w:lang w:val="en-KE"/>
        </w:rPr>
        <w:t>operators</w:t>
      </w:r>
      <w:proofErr w:type="gramEnd"/>
      <w:r w:rsidRPr="003E3F50">
        <w:rPr>
          <w:rFonts w:ascii="Arial" w:hAnsi="Arial" w:cs="Arial"/>
          <w:lang w:val="en-KE"/>
        </w:rPr>
        <w:t xml:space="preserve"> slingers, signallers and assessors</w:t>
      </w:r>
    </w:p>
    <w:p w14:paraId="3B5CDDF4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9926-1:1990</w:t>
      </w:r>
      <w:r w:rsidRPr="003E3F50">
        <w:rPr>
          <w:rFonts w:ascii="Arial" w:hAnsi="Arial" w:cs="Arial"/>
          <w:lang w:val="en-KE"/>
        </w:rPr>
        <w:t xml:space="preserve"> Kenya Standard — Crane’s training of drivers Part 1: General</w:t>
      </w:r>
    </w:p>
    <w:p w14:paraId="74BBBB6B" w14:textId="77777777" w:rsidR="003E3F50" w:rsidRP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901:1990</w:t>
      </w:r>
      <w:r w:rsidRPr="003E3F50">
        <w:rPr>
          <w:rFonts w:ascii="Arial" w:hAnsi="Arial" w:cs="Arial"/>
          <w:lang w:val="en-KE"/>
        </w:rPr>
        <w:t xml:space="preserve"> Kenya Standard — Specification for malleable cast iron</w:t>
      </w:r>
    </w:p>
    <w:p w14:paraId="683F2A76" w14:textId="6111F9A5" w:rsidR="003E3F50" w:rsidRDefault="003E3F50" w:rsidP="003E3F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3E3F50">
        <w:rPr>
          <w:rFonts w:ascii="Arial" w:hAnsi="Arial" w:cs="Arial"/>
          <w:highlight w:val="cyan"/>
          <w:lang w:val="en-KE"/>
        </w:rPr>
        <w:t>KS ISO 13563-1:2000</w:t>
      </w:r>
      <w:r w:rsidRPr="003E3F50">
        <w:rPr>
          <w:rFonts w:ascii="Arial" w:hAnsi="Arial" w:cs="Arial"/>
          <w:lang w:val="en-KE"/>
        </w:rPr>
        <w:t xml:space="preserve"> Kenya Standard — Single side loading forklift trucks Part 1: Stability tests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p w14:paraId="20AAF03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21CAE927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28311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3D374750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7FFDAC3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A856967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29F67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349FBD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ACAF0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916636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769CC7D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DDB0B3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EBEEB08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4540E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DD127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8CA23C9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89C8E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B089F1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422A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DCCE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FDE32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FE952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F1A969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B3F783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18EEEBC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0A741F90" w14:textId="77777777" w:rsidR="002063F4" w:rsidRDefault="002063F4" w:rsidP="007D7BDE">
      <w:pPr>
        <w:rPr>
          <w:rFonts w:ascii="Verdana" w:hAnsi="Verdana"/>
          <w:color w:val="000000"/>
          <w:sz w:val="16"/>
          <w:szCs w:val="16"/>
        </w:rPr>
        <w:sectPr w:rsidR="002063F4" w:rsidSect="00EF6812">
          <w:footerReference w:type="default" r:id="rId10"/>
          <w:headerReference w:type="first" r:id="rId11"/>
          <w:footerReference w:type="first" r:id="rId12"/>
          <w:pgSz w:w="11909" w:h="16834" w:code="9"/>
          <w:pgMar w:top="1864" w:right="1440" w:bottom="1440" w:left="1440" w:header="720" w:footer="720" w:gutter="0"/>
          <w:cols w:space="720"/>
          <w:titlePg/>
          <w:docGrid w:linePitch="360"/>
        </w:sectPr>
      </w:pPr>
    </w:p>
    <w:p w14:paraId="26273CA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C813BAA" w14:textId="5364B8AC" w:rsid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  <w:r w:rsidRPr="00EA2B1C">
        <w:rPr>
          <w:rFonts w:ascii="Arial" w:hAnsi="Arial" w:cs="Arial"/>
          <w:b/>
          <w:bCs/>
          <w:color w:val="000000"/>
        </w:rPr>
        <w:t>SYSTEMATIC REVIEW</w:t>
      </w:r>
    </w:p>
    <w:p w14:paraId="256DC28C" w14:textId="77777777" w:rsidR="00EA2B1C" w:rsidRP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GridTable5Dark-Accent6"/>
        <w:tblpPr w:leftFromText="180" w:rightFromText="180" w:vertAnchor="text" w:horzAnchor="margin" w:tblpXSpec="center" w:tblpY="110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980"/>
        <w:gridCol w:w="1350"/>
        <w:gridCol w:w="1530"/>
        <w:gridCol w:w="1620"/>
        <w:gridCol w:w="5310"/>
      </w:tblGrid>
      <w:tr w:rsidR="002063F4" w14:paraId="1A942549" w14:textId="54343DD4" w:rsidTr="00FE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00B0F0"/>
          </w:tcPr>
          <w:p w14:paraId="627FAC87" w14:textId="171A1E43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S/No</w:t>
            </w:r>
          </w:p>
        </w:tc>
        <w:tc>
          <w:tcPr>
            <w:tcW w:w="2700" w:type="dxa"/>
            <w:shd w:val="clear" w:color="auto" w:fill="00B0F0"/>
          </w:tcPr>
          <w:p w14:paraId="570A8FD5" w14:textId="77777777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D7A55">
              <w:rPr>
                <w:rFonts w:ascii="Arial" w:hAnsi="Arial" w:cs="Arial"/>
                <w:b/>
              </w:rPr>
              <w:t>Standard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4B3CC195" w14:textId="1BEB3A21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</w:t>
            </w:r>
          </w:p>
        </w:tc>
        <w:tc>
          <w:tcPr>
            <w:tcW w:w="1350" w:type="dxa"/>
            <w:shd w:val="clear" w:color="auto" w:fill="00B0F0"/>
          </w:tcPr>
          <w:p w14:paraId="74DB5DD9" w14:textId="37767C3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00B0F0"/>
          </w:tcPr>
          <w:p w14:paraId="1EAC3D2E" w14:textId="23104BF5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AMENDMENT</w:t>
            </w:r>
          </w:p>
        </w:tc>
        <w:tc>
          <w:tcPr>
            <w:tcW w:w="1620" w:type="dxa"/>
            <w:shd w:val="clear" w:color="auto" w:fill="00B0F0"/>
          </w:tcPr>
          <w:p w14:paraId="50B3BE30" w14:textId="59DE48F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WITHDRAWAL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00B0F0"/>
          </w:tcPr>
          <w:p w14:paraId="7334D27E" w14:textId="3BCAD24B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 w:rsidRPr="00EA2B1C">
              <w:rPr>
                <w:rFonts w:ascii="Arial" w:hAnsi="Arial" w:cs="Arial"/>
                <w:b/>
              </w:rPr>
              <w:t>Justification for revision, amendment or withdrawal</w:t>
            </w:r>
          </w:p>
        </w:tc>
      </w:tr>
      <w:tr w:rsidR="008B6BBE" w14:paraId="0543DBB4" w14:textId="4C7C1BDE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40671FEF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F40F96D" w14:textId="0E36704C" w:rsidR="008B6BBE" w:rsidRPr="00C407BA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</w:rPr>
              <w:t>KS ISO 12480-1:1997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ADB021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4A9A2F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D09DFC0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D9D16A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5045E34C" w14:textId="0C4CFF9C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6BBE" w14:paraId="1EC68564" w14:textId="242DB7AC" w:rsidTr="00826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1750362D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7B3B0F25" w14:textId="71F88E05" w:rsidR="008B6BBE" w:rsidRPr="00C407BA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</w:rPr>
              <w:t>KS ISO 9926-1:1990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C1047D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ED6079A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33EE70C5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D68F687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8EC0BE4" w14:textId="00F6AD30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6BBE" w14:paraId="4A6CA100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7A636F6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1E9750A3" w14:textId="67BAD8DF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KS ISO 12480-1:1997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FD4BD1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9525928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17333145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1F5E076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70B0D1C7" w14:textId="77777777" w:rsidR="008B6BBE" w:rsidRPr="003B68DA" w:rsidRDefault="008B6BBE" w:rsidP="008B6BBE">
            <w:pPr>
              <w:rPr>
                <w:rFonts w:ascii="Arial" w:hAnsi="Arial" w:cs="Arial"/>
              </w:rPr>
            </w:pPr>
          </w:p>
        </w:tc>
      </w:tr>
      <w:tr w:rsidR="008B6BBE" w14:paraId="71769A48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0E712438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25872168" w14:textId="6972ACFD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KS ISO 15513:2000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C195AF0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3C27FF5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57B39A84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3BA2DB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2AE36A6D" w14:textId="77777777" w:rsidR="008B6BBE" w:rsidRPr="003B68DA" w:rsidRDefault="008B6BBE" w:rsidP="008B6BBE">
            <w:pPr>
              <w:rPr>
                <w:rFonts w:ascii="Arial" w:hAnsi="Arial" w:cs="Arial"/>
              </w:rPr>
            </w:pPr>
          </w:p>
        </w:tc>
      </w:tr>
      <w:tr w:rsidR="008B6BBE" w14:paraId="0D83B3D4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2D97E602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375FA97A" w14:textId="4F0449BD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KS ISO 9926-1:1990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F5837C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C227E7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6781AC7F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4C36D55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84656FC" w14:textId="77777777" w:rsidR="008B6BBE" w:rsidRPr="003B68DA" w:rsidRDefault="008B6BBE" w:rsidP="008B6BBE">
            <w:pPr>
              <w:rPr>
                <w:rFonts w:ascii="Arial" w:hAnsi="Arial" w:cs="Arial"/>
              </w:rPr>
            </w:pPr>
          </w:p>
        </w:tc>
      </w:tr>
      <w:tr w:rsidR="008B6BBE" w14:paraId="31851042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799BC2AC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67884A47" w14:textId="41A2C461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KS 901:1990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2966121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E1918F1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3DE8308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A55AD90" w14:textId="77777777" w:rsidR="008B6BBE" w:rsidRDefault="008B6BBE" w:rsidP="008B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3F03745" w14:textId="77777777" w:rsidR="008B6BBE" w:rsidRPr="003B68DA" w:rsidRDefault="008B6BBE" w:rsidP="008B6BBE">
            <w:pPr>
              <w:rPr>
                <w:rFonts w:ascii="Arial" w:hAnsi="Arial" w:cs="Arial"/>
              </w:rPr>
            </w:pPr>
          </w:p>
        </w:tc>
      </w:tr>
      <w:tr w:rsidR="008B6BBE" w14:paraId="2DA31928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37283B88" w14:textId="77777777" w:rsidR="008B6BBE" w:rsidRPr="00CF7A06" w:rsidRDefault="008B6BBE" w:rsidP="008B6BBE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1D80A2C1" w14:textId="7268C0A0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 Narrow" w:hAnsi="Arial Narrow"/>
              </w:rPr>
              <w:t>KS ISO 13563-1:2000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AF0917D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A0A5E46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6ACF72A0" w14:textId="77777777" w:rsidR="008B6BBE" w:rsidRDefault="008B6BBE" w:rsidP="008B6B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36D641B" w14:textId="77777777" w:rsidR="008B6BBE" w:rsidRDefault="008B6BBE" w:rsidP="008B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6A61C94" w14:textId="77777777" w:rsidR="008B6BBE" w:rsidRPr="003B68DA" w:rsidRDefault="008B6BBE" w:rsidP="008B6BBE">
            <w:pPr>
              <w:rPr>
                <w:rFonts w:ascii="Arial" w:hAnsi="Arial" w:cs="Arial"/>
              </w:rPr>
            </w:pPr>
          </w:p>
        </w:tc>
      </w:tr>
    </w:tbl>
    <w:p w14:paraId="0BA5329D" w14:textId="77777777" w:rsidR="002063F4" w:rsidRPr="002063F4" w:rsidRDefault="002063F4" w:rsidP="002063F4">
      <w:pPr>
        <w:rPr>
          <w:rFonts w:ascii="Verdana" w:hAnsi="Verdana"/>
          <w:sz w:val="16"/>
          <w:szCs w:val="16"/>
          <w:lang w:val="en-GB"/>
        </w:rPr>
      </w:pPr>
    </w:p>
    <w:sectPr w:rsidR="002063F4" w:rsidRPr="002063F4" w:rsidSect="002063F4">
      <w:pgSz w:w="16834" w:h="11909" w:orient="landscape" w:code="9"/>
      <w:pgMar w:top="1440" w:right="1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6B61" w14:textId="77777777" w:rsidR="00FD1CF2" w:rsidRDefault="00FD1CF2" w:rsidP="007D7BDE">
      <w:r>
        <w:separator/>
      </w:r>
    </w:p>
  </w:endnote>
  <w:endnote w:type="continuationSeparator" w:id="0">
    <w:p w14:paraId="24A91168" w14:textId="77777777" w:rsidR="00FD1CF2" w:rsidRDefault="00FD1CF2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EB37" w14:textId="77777777" w:rsidR="00FD1CF2" w:rsidRDefault="00FD1CF2" w:rsidP="007D7BDE">
      <w:r>
        <w:separator/>
      </w:r>
    </w:p>
  </w:footnote>
  <w:footnote w:type="continuationSeparator" w:id="0">
    <w:p w14:paraId="072B1C79" w14:textId="77777777" w:rsidR="00FD1CF2" w:rsidRDefault="00FD1CF2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6C95B235" w:rsidR="005D3435" w:rsidRDefault="00972A56" w:rsidP="005D3435">
    <w:pPr>
      <w:pStyle w:val="Header"/>
      <w:jc w:val="center"/>
    </w:pPr>
    <w:r>
      <w:rPr>
        <w:noProof/>
      </w:rPr>
      <w:drawing>
        <wp:inline distT="0" distB="0" distL="0" distR="0" wp14:anchorId="45E29B75" wp14:editId="2172A941">
          <wp:extent cx="2533650" cy="692150"/>
          <wp:effectExtent l="0" t="0" r="0" b="0"/>
          <wp:docPr id="1025688629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8629" name="Picture 1025688629" descr="KEBS logo - Standards for Quality lif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8A3D28"/>
    <w:multiLevelType w:val="hybridMultilevel"/>
    <w:tmpl w:val="DE0030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E62"/>
    <w:multiLevelType w:val="hybridMultilevel"/>
    <w:tmpl w:val="0F3A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135"/>
    <w:multiLevelType w:val="hybridMultilevel"/>
    <w:tmpl w:val="5F00D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4830F4"/>
    <w:multiLevelType w:val="hybridMultilevel"/>
    <w:tmpl w:val="66A44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5487133">
    <w:abstractNumId w:val="4"/>
  </w:num>
  <w:num w:numId="2" w16cid:durableId="729767932">
    <w:abstractNumId w:val="0"/>
  </w:num>
  <w:num w:numId="3" w16cid:durableId="566965076">
    <w:abstractNumId w:val="7"/>
  </w:num>
  <w:num w:numId="4" w16cid:durableId="917977881">
    <w:abstractNumId w:val="5"/>
  </w:num>
  <w:num w:numId="5" w16cid:durableId="353576155">
    <w:abstractNumId w:val="1"/>
  </w:num>
  <w:num w:numId="6" w16cid:durableId="851144449">
    <w:abstractNumId w:val="3"/>
  </w:num>
  <w:num w:numId="7" w16cid:durableId="1342511926">
    <w:abstractNumId w:val="2"/>
  </w:num>
  <w:num w:numId="8" w16cid:durableId="14170515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2CA4"/>
    <w:rsid w:val="00041973"/>
    <w:rsid w:val="00043F37"/>
    <w:rsid w:val="00074575"/>
    <w:rsid w:val="000A35DF"/>
    <w:rsid w:val="000A5E80"/>
    <w:rsid w:val="000C4E32"/>
    <w:rsid w:val="000D6D29"/>
    <w:rsid w:val="000F2D66"/>
    <w:rsid w:val="0010178E"/>
    <w:rsid w:val="00103C02"/>
    <w:rsid w:val="00146B64"/>
    <w:rsid w:val="0015398B"/>
    <w:rsid w:val="001542B9"/>
    <w:rsid w:val="00154D57"/>
    <w:rsid w:val="00155B78"/>
    <w:rsid w:val="00161F8F"/>
    <w:rsid w:val="001C189C"/>
    <w:rsid w:val="001D112C"/>
    <w:rsid w:val="001D16F5"/>
    <w:rsid w:val="002063F4"/>
    <w:rsid w:val="00215F7B"/>
    <w:rsid w:val="002236B8"/>
    <w:rsid w:val="00226FF2"/>
    <w:rsid w:val="00241E4B"/>
    <w:rsid w:val="00242755"/>
    <w:rsid w:val="00282D9D"/>
    <w:rsid w:val="002E03CE"/>
    <w:rsid w:val="002E12DF"/>
    <w:rsid w:val="002E3F7C"/>
    <w:rsid w:val="00336600"/>
    <w:rsid w:val="00350BFA"/>
    <w:rsid w:val="0036516A"/>
    <w:rsid w:val="0037216D"/>
    <w:rsid w:val="003A2DFD"/>
    <w:rsid w:val="003B68DA"/>
    <w:rsid w:val="003C3E13"/>
    <w:rsid w:val="003C4A6C"/>
    <w:rsid w:val="003E3F50"/>
    <w:rsid w:val="003F2C4E"/>
    <w:rsid w:val="00402707"/>
    <w:rsid w:val="004142A3"/>
    <w:rsid w:val="00452734"/>
    <w:rsid w:val="004572BD"/>
    <w:rsid w:val="00466F74"/>
    <w:rsid w:val="004C10FA"/>
    <w:rsid w:val="00506AFA"/>
    <w:rsid w:val="005471F9"/>
    <w:rsid w:val="005965CF"/>
    <w:rsid w:val="005D3435"/>
    <w:rsid w:val="005D3E09"/>
    <w:rsid w:val="005E2F92"/>
    <w:rsid w:val="005F34F2"/>
    <w:rsid w:val="00641D5D"/>
    <w:rsid w:val="00655945"/>
    <w:rsid w:val="00680852"/>
    <w:rsid w:val="006A5BB9"/>
    <w:rsid w:val="00703562"/>
    <w:rsid w:val="00703CB1"/>
    <w:rsid w:val="00707D4B"/>
    <w:rsid w:val="00710322"/>
    <w:rsid w:val="00713F4B"/>
    <w:rsid w:val="007244A4"/>
    <w:rsid w:val="00741D30"/>
    <w:rsid w:val="007505E1"/>
    <w:rsid w:val="0075334B"/>
    <w:rsid w:val="00756E07"/>
    <w:rsid w:val="00766B20"/>
    <w:rsid w:val="007A2442"/>
    <w:rsid w:val="007B6DA0"/>
    <w:rsid w:val="007D5546"/>
    <w:rsid w:val="007D7BDE"/>
    <w:rsid w:val="00810E69"/>
    <w:rsid w:val="00816570"/>
    <w:rsid w:val="00826283"/>
    <w:rsid w:val="008572A5"/>
    <w:rsid w:val="00877DFF"/>
    <w:rsid w:val="00893D7E"/>
    <w:rsid w:val="0089797A"/>
    <w:rsid w:val="008B3FDD"/>
    <w:rsid w:val="008B6BBE"/>
    <w:rsid w:val="009130BA"/>
    <w:rsid w:val="00935F3E"/>
    <w:rsid w:val="00972A56"/>
    <w:rsid w:val="00984604"/>
    <w:rsid w:val="009C3E38"/>
    <w:rsid w:val="009C5AC8"/>
    <w:rsid w:val="00A15AB7"/>
    <w:rsid w:val="00A61ED9"/>
    <w:rsid w:val="00A657CC"/>
    <w:rsid w:val="00A87B44"/>
    <w:rsid w:val="00AB16F3"/>
    <w:rsid w:val="00B04B5B"/>
    <w:rsid w:val="00B16031"/>
    <w:rsid w:val="00B26E98"/>
    <w:rsid w:val="00B464EB"/>
    <w:rsid w:val="00B85263"/>
    <w:rsid w:val="00BA0183"/>
    <w:rsid w:val="00BE2951"/>
    <w:rsid w:val="00BF6EDE"/>
    <w:rsid w:val="00C23675"/>
    <w:rsid w:val="00C43AE0"/>
    <w:rsid w:val="00C734AC"/>
    <w:rsid w:val="00CA24B6"/>
    <w:rsid w:val="00CE16A2"/>
    <w:rsid w:val="00D3258D"/>
    <w:rsid w:val="00D43F7F"/>
    <w:rsid w:val="00D47040"/>
    <w:rsid w:val="00D711C5"/>
    <w:rsid w:val="00DB164C"/>
    <w:rsid w:val="00DB3930"/>
    <w:rsid w:val="00DB765D"/>
    <w:rsid w:val="00DC7D31"/>
    <w:rsid w:val="00DE4B09"/>
    <w:rsid w:val="00E00478"/>
    <w:rsid w:val="00E1291B"/>
    <w:rsid w:val="00E1431C"/>
    <w:rsid w:val="00E25CCB"/>
    <w:rsid w:val="00E41A20"/>
    <w:rsid w:val="00E67378"/>
    <w:rsid w:val="00EA2B1C"/>
    <w:rsid w:val="00EB7875"/>
    <w:rsid w:val="00EF6812"/>
    <w:rsid w:val="00EF7104"/>
    <w:rsid w:val="00F15DFE"/>
    <w:rsid w:val="00F46C5C"/>
    <w:rsid w:val="00F701C2"/>
    <w:rsid w:val="00F87FFB"/>
    <w:rsid w:val="00FA64C9"/>
    <w:rsid w:val="00FC17C7"/>
    <w:rsid w:val="00FC1D47"/>
    <w:rsid w:val="00FD1CF2"/>
    <w:rsid w:val="00FE2809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6031"/>
    <w:rPr>
      <w:color w:val="605E5C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EA2B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5Dark-Accent6">
    <w:name w:val="List Table 5 Dark Accent 6"/>
    <w:basedOn w:val="TableNormal"/>
    <w:uiPriority w:val="50"/>
    <w:rsid w:val="00EA2B1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A2B1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James Maina</cp:lastModifiedBy>
  <cp:revision>4</cp:revision>
  <dcterms:created xsi:type="dcterms:W3CDTF">2026-01-14T07:29:00Z</dcterms:created>
  <dcterms:modified xsi:type="dcterms:W3CDTF">2026-01-14T07:31:00Z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