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61"/>
        <w:gridCol w:w="2910"/>
      </w:tblGrid>
      <w:tr w:rsidR="007D7BDE" w:rsidRPr="00556197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7D7BDE" w:rsidRPr="00556197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60E149BF" w:rsidR="007D7BDE" w:rsidRPr="00556197" w:rsidRDefault="0021181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21181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37AEDC64" w:rsidR="007D7BDE" w:rsidRPr="00556197" w:rsidRDefault="0021181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21181E">
              <w:rPr>
                <w:rFonts w:ascii="Arial" w:hAnsi="Arial" w:cs="Arial"/>
              </w:rPr>
              <w:t>7</w:t>
            </w:r>
            <w:r w:rsidRPr="0021181E">
              <w:rPr>
                <w:rFonts w:ascii="Arial" w:hAnsi="Arial" w:cs="Arial"/>
                <w:vertAlign w:val="superscript"/>
              </w:rPr>
              <w:t>th</w:t>
            </w:r>
            <w:r w:rsidRPr="0021181E">
              <w:rPr>
                <w:rFonts w:ascii="Arial" w:hAnsi="Arial" w:cs="Arial"/>
              </w:rPr>
              <w:t xml:space="preserve"> February 2026</w:t>
            </w:r>
          </w:p>
        </w:tc>
      </w:tr>
      <w:tr w:rsidR="007D7BDE" w:rsidRPr="00556197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7102ED28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of </w:t>
            </w:r>
            <w:r w:rsidR="006D1153">
              <w:rPr>
                <w:rFonts w:ascii="Arial" w:hAnsi="Arial" w:cs="Arial"/>
                <w:b/>
                <w:bCs/>
              </w:rPr>
              <w:t>silam@kebs.org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fill your preference of the listed option.  (If the spaces provided are not enough, please attach a separate sheet of paper).</w:t>
      </w:r>
    </w:p>
    <w:p w14:paraId="76CF5E15" w14:textId="77777777" w:rsidR="006D1153" w:rsidRDefault="006D1153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7B3A83A" w14:textId="385C6864" w:rsidR="006D1153" w:rsidRPr="006D1153" w:rsidRDefault="006D1153" w:rsidP="007D7B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D1153">
        <w:rPr>
          <w:rFonts w:ascii="Arial" w:hAnsi="Arial" w:cs="Arial"/>
          <w:b/>
          <w:bCs/>
        </w:rPr>
        <w:t xml:space="preserve">KEBS/TC </w:t>
      </w:r>
      <w:r w:rsidR="00002335">
        <w:rPr>
          <w:rFonts w:ascii="Arial" w:hAnsi="Arial" w:cs="Arial"/>
          <w:b/>
          <w:bCs/>
        </w:rPr>
        <w:t xml:space="preserve">129 Equipment for Fire Fighting and Fire </w:t>
      </w:r>
      <w:proofErr w:type="gramStart"/>
      <w:r w:rsidR="00002335">
        <w:rPr>
          <w:rFonts w:ascii="Arial" w:hAnsi="Arial" w:cs="Arial"/>
          <w:b/>
          <w:bCs/>
        </w:rPr>
        <w:t>protection</w:t>
      </w:r>
      <w:proofErr w:type="gramEnd"/>
    </w:p>
    <w:p w14:paraId="6780F934" w14:textId="77777777" w:rsidR="006D1153" w:rsidRPr="00556197" w:rsidRDefault="006D1153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1322B90" w14:textId="77777777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ISO 15779:2011 Kenya Standard — Condensed aerosol fire extinguishing systems — Requirements and test methods for components and system design installation and maintenance general requirements</w:t>
      </w:r>
    </w:p>
    <w:p w14:paraId="617E5679" w14:textId="77777777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ISO 7240-11:2011 Kenya Standard — Fire detection and alarm systems Part 11: Manual call points</w:t>
      </w:r>
    </w:p>
    <w:p w14:paraId="7E66D72D" w14:textId="77777777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ISO/TS11602-1:2010 Kenya Standard — Fire protection portable and wheeled fire extinguishers Part 1: Selection and installation</w:t>
      </w:r>
    </w:p>
    <w:p w14:paraId="563DEA32" w14:textId="77777777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ISO/TS11602-2:2010 Kenya Standard — Fire protection portable and wheeled fire extinguishers Part 2: Inspection and maintenance</w:t>
      </w:r>
    </w:p>
    <w:p w14:paraId="0241958B" w14:textId="77777777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ISO 7240-14: 2013 Kenya Standard — Fire detection and alarm systems Part 14: Design installation commissioning and service of fire detection and fire alarm systems in and around buildings</w:t>
      </w:r>
    </w:p>
    <w:p w14:paraId="00672B4F" w14:textId="77777777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1951:2006 Kenya Standard — Ionization chamber smoke detectors ICSDS for commercial and industrial fire protection systems requirements</w:t>
      </w:r>
    </w:p>
    <w:p w14:paraId="28E02D86" w14:textId="77777777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2003:2006 Kenya Standard — Hose reel for firefighting for fixed installations — Specification</w:t>
      </w:r>
    </w:p>
    <w:p w14:paraId="00AA8C77" w14:textId="55140460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1960-1: 2015 Kenya Standard — Maintenance of fire protection equipment Part 1: Fire hose reels</w:t>
      </w:r>
    </w:p>
    <w:p w14:paraId="5F4BF597" w14:textId="778AC94D" w:rsidR="00002335" w:rsidRDefault="00002335" w:rsidP="0000233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02335">
        <w:rPr>
          <w:rFonts w:ascii="Arial" w:hAnsi="Arial" w:cs="Arial"/>
        </w:rPr>
        <w:t>KS 2175:2015 Kenya Standard — Firefighting equipment — Components of underground and aboveground hydrant systems Specification</w:t>
      </w:r>
    </w:p>
    <w:p w14:paraId="10B702AA" w14:textId="29DB5B58" w:rsidR="00F64DE6" w:rsidRPr="00002335" w:rsidRDefault="00F64DE6" w:rsidP="00002335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02335">
        <w:rPr>
          <w:rFonts w:ascii="Arial" w:hAnsi="Arial" w:cs="Arial"/>
        </w:rPr>
        <w:t xml:space="preserve">Please indicate your choice out of the following actions which you prefer to be taken on this Kenya </w:t>
      </w:r>
      <w:r w:rsidR="001E2163" w:rsidRPr="00002335">
        <w:rPr>
          <w:rFonts w:ascii="Arial" w:hAnsi="Arial" w:cs="Arial"/>
        </w:rPr>
        <w:t xml:space="preserve">     </w:t>
      </w:r>
      <w:r w:rsidRPr="00002335">
        <w:rPr>
          <w:rFonts w:ascii="Arial" w:hAnsi="Arial" w:cs="Arial"/>
        </w:rPr>
        <w:t>Standard.</w:t>
      </w:r>
    </w:p>
    <w:p w14:paraId="20C68261" w14:textId="3FD5C32D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9496" w:type="dxa"/>
        <w:tblLayout w:type="fixed"/>
        <w:tblLook w:val="04A0" w:firstRow="1" w:lastRow="0" w:firstColumn="1" w:lastColumn="0" w:noHBand="0" w:noVBand="1"/>
      </w:tblPr>
      <w:tblGrid>
        <w:gridCol w:w="591"/>
        <w:gridCol w:w="2687"/>
        <w:gridCol w:w="1791"/>
        <w:gridCol w:w="1175"/>
        <w:gridCol w:w="1585"/>
        <w:gridCol w:w="1667"/>
      </w:tblGrid>
      <w:tr w:rsidR="00DB11ED" w14:paraId="5BB2F15F" w14:textId="3DC549AC" w:rsidTr="00AE40C6">
        <w:trPr>
          <w:trHeight w:val="359"/>
        </w:trPr>
        <w:tc>
          <w:tcPr>
            <w:tcW w:w="591" w:type="dxa"/>
          </w:tcPr>
          <w:p w14:paraId="5255D44A" w14:textId="0FEBB8D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687" w:type="dxa"/>
          </w:tcPr>
          <w:p w14:paraId="41BE0EA6" w14:textId="095DF06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2163">
              <w:rPr>
                <w:rFonts w:ascii="Arial" w:hAnsi="Arial" w:cs="Arial"/>
              </w:rPr>
              <w:t>STANDARD NUMBER</w:t>
            </w:r>
          </w:p>
        </w:tc>
        <w:tc>
          <w:tcPr>
            <w:tcW w:w="1791" w:type="dxa"/>
          </w:tcPr>
          <w:p w14:paraId="3344C222" w14:textId="5D3E414C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2163">
              <w:rPr>
                <w:rFonts w:ascii="Arial" w:hAnsi="Arial" w:cs="Arial"/>
              </w:rPr>
              <w:t>CONFIRMATI</w:t>
            </w:r>
            <w:r w:rsidR="00DB11ED">
              <w:rPr>
                <w:rFonts w:ascii="Arial" w:hAnsi="Arial" w:cs="Arial"/>
              </w:rPr>
              <w:t>O</w:t>
            </w:r>
            <w:r w:rsidRPr="001E2163">
              <w:rPr>
                <w:rFonts w:ascii="Arial" w:hAnsi="Arial" w:cs="Arial"/>
              </w:rPr>
              <w:t>N</w:t>
            </w:r>
          </w:p>
        </w:tc>
        <w:tc>
          <w:tcPr>
            <w:tcW w:w="1175" w:type="dxa"/>
          </w:tcPr>
          <w:p w14:paraId="6FD8654B" w14:textId="05CA081B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585" w:type="dxa"/>
          </w:tcPr>
          <w:p w14:paraId="2CB01735" w14:textId="756C246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</w:t>
            </w:r>
          </w:p>
        </w:tc>
        <w:tc>
          <w:tcPr>
            <w:tcW w:w="1667" w:type="dxa"/>
          </w:tcPr>
          <w:p w14:paraId="54A82180" w14:textId="4D918240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WITHDRAWAL</w:t>
            </w:r>
          </w:p>
        </w:tc>
      </w:tr>
      <w:tr w:rsidR="00DB11ED" w14:paraId="5FABDD57" w14:textId="511A196B" w:rsidTr="00DB11ED">
        <w:trPr>
          <w:trHeight w:val="284"/>
        </w:trPr>
        <w:tc>
          <w:tcPr>
            <w:tcW w:w="591" w:type="dxa"/>
          </w:tcPr>
          <w:p w14:paraId="7AE29E8D" w14:textId="1A6CD510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87" w:type="dxa"/>
          </w:tcPr>
          <w:p w14:paraId="62E98DA4" w14:textId="28094F33" w:rsidR="001E2163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ISO 15779:2011</w:t>
            </w:r>
          </w:p>
        </w:tc>
        <w:tc>
          <w:tcPr>
            <w:tcW w:w="1791" w:type="dxa"/>
          </w:tcPr>
          <w:p w14:paraId="34EBC7B0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54586F1F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4650EBA9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14E099E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B11ED" w14:paraId="714FC30A" w14:textId="59D3D3E1" w:rsidTr="00DB11ED">
        <w:trPr>
          <w:trHeight w:val="284"/>
        </w:trPr>
        <w:tc>
          <w:tcPr>
            <w:tcW w:w="591" w:type="dxa"/>
          </w:tcPr>
          <w:p w14:paraId="5F572DB7" w14:textId="5F9B0303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87" w:type="dxa"/>
          </w:tcPr>
          <w:p w14:paraId="2E81C0E4" w14:textId="2769E258" w:rsidR="001E2163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ISO 7240-11:2011</w:t>
            </w:r>
          </w:p>
        </w:tc>
        <w:tc>
          <w:tcPr>
            <w:tcW w:w="1791" w:type="dxa"/>
          </w:tcPr>
          <w:p w14:paraId="42D1A486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7FA17D45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6AA3EBBA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E7444B8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B11ED" w14:paraId="03635C5F" w14:textId="3D7D027D" w:rsidTr="00DB11ED">
        <w:trPr>
          <w:trHeight w:val="284"/>
        </w:trPr>
        <w:tc>
          <w:tcPr>
            <w:tcW w:w="591" w:type="dxa"/>
          </w:tcPr>
          <w:p w14:paraId="1BFA43F5" w14:textId="4375F37E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687" w:type="dxa"/>
          </w:tcPr>
          <w:p w14:paraId="6B0DC214" w14:textId="50F06B7E" w:rsidR="001E2163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ISO/TS11602-1:2010</w:t>
            </w:r>
          </w:p>
        </w:tc>
        <w:tc>
          <w:tcPr>
            <w:tcW w:w="1791" w:type="dxa"/>
          </w:tcPr>
          <w:p w14:paraId="09DB5C53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3F7194B9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19BB385F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FD53F5C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E2163" w14:paraId="072FF809" w14:textId="77777777" w:rsidTr="00DB11ED">
        <w:trPr>
          <w:trHeight w:val="284"/>
        </w:trPr>
        <w:tc>
          <w:tcPr>
            <w:tcW w:w="591" w:type="dxa"/>
          </w:tcPr>
          <w:p w14:paraId="3AFBC152" w14:textId="1DCD2E0A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87" w:type="dxa"/>
          </w:tcPr>
          <w:p w14:paraId="67342A39" w14:textId="29C096B7" w:rsidR="001E2163" w:rsidRPr="00F64DE6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ISO/TS11602-2:2010</w:t>
            </w:r>
          </w:p>
        </w:tc>
        <w:tc>
          <w:tcPr>
            <w:tcW w:w="1791" w:type="dxa"/>
          </w:tcPr>
          <w:p w14:paraId="5744B8D4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02737AFB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23419A1F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6C24DD0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02335" w14:paraId="1C08F3BE" w14:textId="77777777" w:rsidTr="00DB11ED">
        <w:trPr>
          <w:trHeight w:val="284"/>
        </w:trPr>
        <w:tc>
          <w:tcPr>
            <w:tcW w:w="591" w:type="dxa"/>
          </w:tcPr>
          <w:p w14:paraId="0B0F7DC2" w14:textId="0194C0F8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87" w:type="dxa"/>
          </w:tcPr>
          <w:p w14:paraId="6C583B17" w14:textId="1CBE8760" w:rsidR="00002335" w:rsidRP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ISO 7240-14: 2013</w:t>
            </w:r>
          </w:p>
        </w:tc>
        <w:tc>
          <w:tcPr>
            <w:tcW w:w="1791" w:type="dxa"/>
          </w:tcPr>
          <w:p w14:paraId="0FDFC35D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165690BE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11FB8738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97F19AD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02335" w14:paraId="7EBC0666" w14:textId="77777777" w:rsidTr="00DB11ED">
        <w:trPr>
          <w:trHeight w:val="284"/>
        </w:trPr>
        <w:tc>
          <w:tcPr>
            <w:tcW w:w="591" w:type="dxa"/>
          </w:tcPr>
          <w:p w14:paraId="4231F665" w14:textId="707ED089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687" w:type="dxa"/>
          </w:tcPr>
          <w:p w14:paraId="11C652F7" w14:textId="6221EA99" w:rsidR="00002335" w:rsidRP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1951:2006</w:t>
            </w:r>
          </w:p>
        </w:tc>
        <w:tc>
          <w:tcPr>
            <w:tcW w:w="1791" w:type="dxa"/>
          </w:tcPr>
          <w:p w14:paraId="00699225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6D1842B2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56C39BC7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93C05EC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02335" w14:paraId="5E4C70B6" w14:textId="77777777" w:rsidTr="00DB11ED">
        <w:trPr>
          <w:trHeight w:val="284"/>
        </w:trPr>
        <w:tc>
          <w:tcPr>
            <w:tcW w:w="591" w:type="dxa"/>
          </w:tcPr>
          <w:p w14:paraId="71E2ED97" w14:textId="113877E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87" w:type="dxa"/>
          </w:tcPr>
          <w:p w14:paraId="29C1A993" w14:textId="2971F4F7" w:rsidR="00002335" w:rsidRP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2003:2006</w:t>
            </w:r>
          </w:p>
        </w:tc>
        <w:tc>
          <w:tcPr>
            <w:tcW w:w="1791" w:type="dxa"/>
          </w:tcPr>
          <w:p w14:paraId="05933FA7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7CFD9593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2760132D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BCC790B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02335" w14:paraId="2102DE60" w14:textId="77777777" w:rsidTr="00DB11ED">
        <w:trPr>
          <w:trHeight w:val="284"/>
        </w:trPr>
        <w:tc>
          <w:tcPr>
            <w:tcW w:w="591" w:type="dxa"/>
          </w:tcPr>
          <w:p w14:paraId="5D0D9ABF" w14:textId="250532BD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687" w:type="dxa"/>
          </w:tcPr>
          <w:p w14:paraId="6DF67EEE" w14:textId="32C14179" w:rsidR="00002335" w:rsidRP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1960-1: 2015</w:t>
            </w:r>
          </w:p>
        </w:tc>
        <w:tc>
          <w:tcPr>
            <w:tcW w:w="1791" w:type="dxa"/>
          </w:tcPr>
          <w:p w14:paraId="24705FBB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061558BC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7BF9E8EE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3D69DAFD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02335" w14:paraId="65E406BE" w14:textId="77777777" w:rsidTr="00DB11ED">
        <w:trPr>
          <w:trHeight w:val="284"/>
        </w:trPr>
        <w:tc>
          <w:tcPr>
            <w:tcW w:w="591" w:type="dxa"/>
          </w:tcPr>
          <w:p w14:paraId="198ADCAC" w14:textId="6FAADABF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687" w:type="dxa"/>
          </w:tcPr>
          <w:p w14:paraId="7F407D2F" w14:textId="67A31A4A" w:rsidR="00002335" w:rsidRP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2335">
              <w:rPr>
                <w:rFonts w:ascii="Arial" w:hAnsi="Arial" w:cs="Arial"/>
              </w:rPr>
              <w:t>KS 2175:2015</w:t>
            </w:r>
          </w:p>
        </w:tc>
        <w:tc>
          <w:tcPr>
            <w:tcW w:w="1791" w:type="dxa"/>
          </w:tcPr>
          <w:p w14:paraId="680F77F2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34797321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32428843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3D7252EC" w14:textId="77777777" w:rsidR="00002335" w:rsidRDefault="00002335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0"/>
      <w:footerReference w:type="defaul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EC07" w14:textId="77777777" w:rsidR="00617059" w:rsidRDefault="00617059" w:rsidP="007D7BDE">
      <w:r>
        <w:separator/>
      </w:r>
    </w:p>
  </w:endnote>
  <w:endnote w:type="continuationSeparator" w:id="0">
    <w:p w14:paraId="4448C5F3" w14:textId="77777777" w:rsidR="00617059" w:rsidRDefault="00617059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4095" w14:textId="77777777" w:rsidR="00617059" w:rsidRDefault="00617059" w:rsidP="007D7BDE">
      <w:r>
        <w:separator/>
      </w:r>
    </w:p>
  </w:footnote>
  <w:footnote w:type="continuationSeparator" w:id="0">
    <w:p w14:paraId="3A95399C" w14:textId="77777777" w:rsidR="00617059" w:rsidRDefault="00617059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7E220A"/>
    <w:multiLevelType w:val="hybridMultilevel"/>
    <w:tmpl w:val="B76883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16303035">
    <w:abstractNumId w:val="2"/>
  </w:num>
  <w:num w:numId="2" w16cid:durableId="476806187">
    <w:abstractNumId w:val="0"/>
  </w:num>
  <w:num w:numId="3" w16cid:durableId="786002268">
    <w:abstractNumId w:val="4"/>
  </w:num>
  <w:num w:numId="4" w16cid:durableId="1095708955">
    <w:abstractNumId w:val="3"/>
  </w:num>
  <w:num w:numId="5" w16cid:durableId="128608488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2335"/>
    <w:rsid w:val="00011059"/>
    <w:rsid w:val="000250FB"/>
    <w:rsid w:val="0003199D"/>
    <w:rsid w:val="00041973"/>
    <w:rsid w:val="00043F37"/>
    <w:rsid w:val="00074575"/>
    <w:rsid w:val="000A35DF"/>
    <w:rsid w:val="000A5E80"/>
    <w:rsid w:val="000C4E32"/>
    <w:rsid w:val="000D5B74"/>
    <w:rsid w:val="00103C02"/>
    <w:rsid w:val="00146B64"/>
    <w:rsid w:val="00154D57"/>
    <w:rsid w:val="00161F8F"/>
    <w:rsid w:val="001D112C"/>
    <w:rsid w:val="001E2163"/>
    <w:rsid w:val="0021181E"/>
    <w:rsid w:val="002236B8"/>
    <w:rsid w:val="002258CE"/>
    <w:rsid w:val="00226FF2"/>
    <w:rsid w:val="00241E4B"/>
    <w:rsid w:val="00242755"/>
    <w:rsid w:val="00282D9D"/>
    <w:rsid w:val="002C43DD"/>
    <w:rsid w:val="002E03CE"/>
    <w:rsid w:val="002E12DF"/>
    <w:rsid w:val="002E3F7C"/>
    <w:rsid w:val="00350BFA"/>
    <w:rsid w:val="0037216D"/>
    <w:rsid w:val="0039267C"/>
    <w:rsid w:val="003A2DFD"/>
    <w:rsid w:val="003C4A6C"/>
    <w:rsid w:val="003F2C4E"/>
    <w:rsid w:val="00402707"/>
    <w:rsid w:val="00452734"/>
    <w:rsid w:val="00506AFA"/>
    <w:rsid w:val="005965CF"/>
    <w:rsid w:val="005D3E09"/>
    <w:rsid w:val="005E2F92"/>
    <w:rsid w:val="00617059"/>
    <w:rsid w:val="00637452"/>
    <w:rsid w:val="00680852"/>
    <w:rsid w:val="006D1153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10E69"/>
    <w:rsid w:val="00817830"/>
    <w:rsid w:val="008572A5"/>
    <w:rsid w:val="00877DFF"/>
    <w:rsid w:val="00891427"/>
    <w:rsid w:val="00893D7E"/>
    <w:rsid w:val="008B3FDD"/>
    <w:rsid w:val="00993BF6"/>
    <w:rsid w:val="009C774A"/>
    <w:rsid w:val="00A15AB7"/>
    <w:rsid w:val="00A87B44"/>
    <w:rsid w:val="00AB16F3"/>
    <w:rsid w:val="00AE40C6"/>
    <w:rsid w:val="00B04B5B"/>
    <w:rsid w:val="00B946CF"/>
    <w:rsid w:val="00BA0183"/>
    <w:rsid w:val="00BD29EB"/>
    <w:rsid w:val="00BF6EDE"/>
    <w:rsid w:val="00C23675"/>
    <w:rsid w:val="00C734AC"/>
    <w:rsid w:val="00D711C5"/>
    <w:rsid w:val="00DB11ED"/>
    <w:rsid w:val="00DC7D31"/>
    <w:rsid w:val="00DE4B09"/>
    <w:rsid w:val="00E00478"/>
    <w:rsid w:val="00E1291B"/>
    <w:rsid w:val="00E41A20"/>
    <w:rsid w:val="00E67378"/>
    <w:rsid w:val="00E95213"/>
    <w:rsid w:val="00EB7875"/>
    <w:rsid w:val="00EC7E76"/>
    <w:rsid w:val="00EF7104"/>
    <w:rsid w:val="00F64DE6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Mercy Kang'wele Sila</cp:lastModifiedBy>
  <cp:revision>4</cp:revision>
  <dcterms:created xsi:type="dcterms:W3CDTF">2025-12-18T07:42:00Z</dcterms:created>
  <dcterms:modified xsi:type="dcterms:W3CDTF">2026-01-07T09:02:00Z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