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61"/>
        <w:gridCol w:w="2910"/>
      </w:tblGrid>
      <w:tr w:rsidR="007D7BDE" w:rsidRPr="00556197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7D7BDE" w:rsidRPr="00556197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7D7BDE" w:rsidRPr="00556197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08BDD547" w:rsidR="007D7BDE" w:rsidRPr="00556197" w:rsidRDefault="00B774AD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774A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5AAA707C" w:rsidR="007D7BDE" w:rsidRPr="00556197" w:rsidRDefault="00B774AD" w:rsidP="00B774AD">
            <w:pPr>
              <w:tabs>
                <w:tab w:val="right" w:pos="2692"/>
              </w:tabs>
              <w:rPr>
                <w:rFonts w:ascii="Arial" w:hAnsi="Arial" w:cs="Arial"/>
              </w:rPr>
            </w:pPr>
            <w:r w:rsidRPr="00B774AD">
              <w:rPr>
                <w:rFonts w:ascii="Arial" w:hAnsi="Arial" w:cs="Arial"/>
              </w:rPr>
              <w:t>14</w:t>
            </w:r>
            <w:r w:rsidRPr="00B774AD">
              <w:rPr>
                <w:rFonts w:ascii="Arial" w:hAnsi="Arial" w:cs="Arial"/>
                <w:vertAlign w:val="superscript"/>
              </w:rPr>
              <w:t>th</w:t>
            </w:r>
            <w:r w:rsidRPr="00B774AD">
              <w:rPr>
                <w:rFonts w:ascii="Arial" w:hAnsi="Arial" w:cs="Arial"/>
              </w:rPr>
              <w:t xml:space="preserve"> February 2026</w:t>
            </w:r>
          </w:p>
        </w:tc>
      </w:tr>
      <w:tr w:rsidR="007D7BDE" w:rsidRPr="00556197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7102ED28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of </w:t>
            </w:r>
            <w:r w:rsidR="006D1153">
              <w:rPr>
                <w:rFonts w:ascii="Arial" w:hAnsi="Arial" w:cs="Arial"/>
                <w:b/>
                <w:bCs/>
              </w:rPr>
              <w:t>silam@kebs.org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fill your preference of the listed option.  (If the spaces provided are not enough, please attach a separate sheet of paper).</w:t>
      </w:r>
    </w:p>
    <w:p w14:paraId="76CF5E15" w14:textId="77777777" w:rsidR="006D1153" w:rsidRDefault="006D1153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7B3A83A" w14:textId="410EB589" w:rsidR="006D1153" w:rsidRPr="006D1153" w:rsidRDefault="006D1153" w:rsidP="007D7B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D1153">
        <w:rPr>
          <w:rFonts w:ascii="Arial" w:hAnsi="Arial" w:cs="Arial"/>
          <w:b/>
          <w:bCs/>
        </w:rPr>
        <w:t>KEBS/TC 110 BOILERS AND PRESSURE VESSELS</w:t>
      </w:r>
    </w:p>
    <w:p w14:paraId="6780F934" w14:textId="77777777" w:rsidR="006D1153" w:rsidRPr="00556197" w:rsidRDefault="006D1153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BD0F6B" w14:textId="77777777" w:rsidR="00AE40C6" w:rsidRDefault="00AE40C6" w:rsidP="006D115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AE40C6">
        <w:rPr>
          <w:rFonts w:ascii="Arial" w:hAnsi="Arial" w:cs="Arial"/>
        </w:rPr>
        <w:t>KS 1757:2010 Kenya Standard — Inspection and repair of boilers — Code of practice</w:t>
      </w:r>
    </w:p>
    <w:p w14:paraId="75C3583A" w14:textId="0BE5A07A" w:rsidR="006D1153" w:rsidRDefault="00AE40C6" w:rsidP="006D115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AE40C6">
        <w:rPr>
          <w:rFonts w:ascii="Arial" w:hAnsi="Arial" w:cs="Arial"/>
        </w:rPr>
        <w:t>KS ISO 1129:1980 Kenya Standard — Steel tubes for boilers super heaters and heat exchangers dimensions tolerance and conventional masses per unit length</w:t>
      </w:r>
    </w:p>
    <w:p w14:paraId="19F95C9C" w14:textId="6C3383C8" w:rsidR="006D1153" w:rsidRDefault="00AE40C6" w:rsidP="006D115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AE40C6">
        <w:rPr>
          <w:rFonts w:ascii="Arial" w:hAnsi="Arial" w:cs="Arial"/>
        </w:rPr>
        <w:t>KS ISO 16528-1:2007 Kenya Standard — Boilers and pressure vessels Part 1: Performance requirements</w:t>
      </w:r>
      <w:r>
        <w:rPr>
          <w:rFonts w:ascii="Arial" w:hAnsi="Arial" w:cs="Arial"/>
        </w:rPr>
        <w:t>.</w:t>
      </w:r>
    </w:p>
    <w:p w14:paraId="4208FB87" w14:textId="77777777" w:rsidR="00AE40C6" w:rsidRDefault="00AE40C6" w:rsidP="009C774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AE40C6">
        <w:rPr>
          <w:rFonts w:ascii="Arial" w:hAnsi="Arial" w:cs="Arial"/>
        </w:rPr>
        <w:t>KS ISO 16528-2: 2007 Kenya Standard — Boilers and pressure vessels Part 2: Procedures for fulfilling the requirements of ISO 16528 1</w:t>
      </w:r>
    </w:p>
    <w:p w14:paraId="10B702AA" w14:textId="6DA6374B" w:rsidR="00F64DE6" w:rsidRPr="00F64DE6" w:rsidRDefault="00F64DE6" w:rsidP="001E2163">
      <w:pPr>
        <w:autoSpaceDE w:val="0"/>
        <w:autoSpaceDN w:val="0"/>
        <w:adjustRightInd w:val="0"/>
        <w:rPr>
          <w:rFonts w:ascii="Arial" w:hAnsi="Arial" w:cs="Arial"/>
        </w:rPr>
      </w:pPr>
      <w:r w:rsidRPr="00F64DE6">
        <w:rPr>
          <w:rFonts w:ascii="Arial" w:hAnsi="Arial" w:cs="Arial"/>
        </w:rPr>
        <w:t>Please indicate your choice out of the following actions which you prefer to be taken on this Kenya</w:t>
      </w:r>
      <w:r>
        <w:rPr>
          <w:rFonts w:ascii="Arial" w:hAnsi="Arial" w:cs="Arial"/>
        </w:rPr>
        <w:t xml:space="preserve"> </w:t>
      </w:r>
      <w:r w:rsidR="001E2163">
        <w:rPr>
          <w:rFonts w:ascii="Arial" w:hAnsi="Arial" w:cs="Arial"/>
        </w:rPr>
        <w:t xml:space="preserve">     </w:t>
      </w:r>
      <w:r w:rsidRPr="00F64DE6">
        <w:rPr>
          <w:rFonts w:ascii="Arial" w:hAnsi="Arial" w:cs="Arial"/>
        </w:rPr>
        <w:t>Standard.</w:t>
      </w:r>
    </w:p>
    <w:p w14:paraId="20C68261" w14:textId="3FD5C32D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9496" w:type="dxa"/>
        <w:tblLayout w:type="fixed"/>
        <w:tblLook w:val="04A0" w:firstRow="1" w:lastRow="0" w:firstColumn="1" w:lastColumn="0" w:noHBand="0" w:noVBand="1"/>
      </w:tblPr>
      <w:tblGrid>
        <w:gridCol w:w="591"/>
        <w:gridCol w:w="2687"/>
        <w:gridCol w:w="1791"/>
        <w:gridCol w:w="1175"/>
        <w:gridCol w:w="1585"/>
        <w:gridCol w:w="1667"/>
      </w:tblGrid>
      <w:tr w:rsidR="00DB11ED" w14:paraId="5BB2F15F" w14:textId="3DC549AC" w:rsidTr="00AE40C6">
        <w:trPr>
          <w:trHeight w:val="359"/>
        </w:trPr>
        <w:tc>
          <w:tcPr>
            <w:tcW w:w="591" w:type="dxa"/>
          </w:tcPr>
          <w:p w14:paraId="5255D44A" w14:textId="0FEBB8D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687" w:type="dxa"/>
          </w:tcPr>
          <w:p w14:paraId="41BE0EA6" w14:textId="095DF06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2163">
              <w:rPr>
                <w:rFonts w:ascii="Arial" w:hAnsi="Arial" w:cs="Arial"/>
              </w:rPr>
              <w:t>STANDARD NUMBER</w:t>
            </w:r>
          </w:p>
        </w:tc>
        <w:tc>
          <w:tcPr>
            <w:tcW w:w="1791" w:type="dxa"/>
          </w:tcPr>
          <w:p w14:paraId="3344C222" w14:textId="5D3E414C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2163">
              <w:rPr>
                <w:rFonts w:ascii="Arial" w:hAnsi="Arial" w:cs="Arial"/>
              </w:rPr>
              <w:t>CONFIRMATI</w:t>
            </w:r>
            <w:r w:rsidR="00DB11ED">
              <w:rPr>
                <w:rFonts w:ascii="Arial" w:hAnsi="Arial" w:cs="Arial"/>
              </w:rPr>
              <w:t>O</w:t>
            </w:r>
            <w:r w:rsidRPr="001E2163">
              <w:rPr>
                <w:rFonts w:ascii="Arial" w:hAnsi="Arial" w:cs="Arial"/>
              </w:rPr>
              <w:t>N</w:t>
            </w:r>
          </w:p>
        </w:tc>
        <w:tc>
          <w:tcPr>
            <w:tcW w:w="1175" w:type="dxa"/>
          </w:tcPr>
          <w:p w14:paraId="6FD8654B" w14:textId="05CA081B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585" w:type="dxa"/>
          </w:tcPr>
          <w:p w14:paraId="2CB01735" w14:textId="756C2468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</w:t>
            </w:r>
          </w:p>
        </w:tc>
        <w:tc>
          <w:tcPr>
            <w:tcW w:w="1667" w:type="dxa"/>
          </w:tcPr>
          <w:p w14:paraId="54A82180" w14:textId="4D918240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WITHDRAWAL</w:t>
            </w:r>
          </w:p>
        </w:tc>
      </w:tr>
      <w:tr w:rsidR="00DB11ED" w14:paraId="5FABDD57" w14:textId="511A196B" w:rsidTr="00DB11ED">
        <w:trPr>
          <w:trHeight w:val="284"/>
        </w:trPr>
        <w:tc>
          <w:tcPr>
            <w:tcW w:w="591" w:type="dxa"/>
          </w:tcPr>
          <w:p w14:paraId="7AE29E8D" w14:textId="1A6CD510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87" w:type="dxa"/>
          </w:tcPr>
          <w:p w14:paraId="62E98DA4" w14:textId="2AA125FF" w:rsidR="001E2163" w:rsidRDefault="00AE40C6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40C6">
              <w:rPr>
                <w:rFonts w:ascii="Arial" w:hAnsi="Arial" w:cs="Arial"/>
              </w:rPr>
              <w:t>KS 1757:2010</w:t>
            </w:r>
          </w:p>
        </w:tc>
        <w:tc>
          <w:tcPr>
            <w:tcW w:w="1791" w:type="dxa"/>
          </w:tcPr>
          <w:p w14:paraId="34EBC7B0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54586F1F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4650EBA9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14E099E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B11ED" w14:paraId="714FC30A" w14:textId="59D3D3E1" w:rsidTr="00DB11ED">
        <w:trPr>
          <w:trHeight w:val="284"/>
        </w:trPr>
        <w:tc>
          <w:tcPr>
            <w:tcW w:w="591" w:type="dxa"/>
          </w:tcPr>
          <w:p w14:paraId="5F572DB7" w14:textId="5F9B0303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87" w:type="dxa"/>
          </w:tcPr>
          <w:p w14:paraId="2E81C0E4" w14:textId="1DA6EED6" w:rsidR="001E2163" w:rsidRDefault="00AE40C6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40C6">
              <w:rPr>
                <w:rFonts w:ascii="Arial" w:hAnsi="Arial" w:cs="Arial"/>
              </w:rPr>
              <w:t>KS ISO 1129:1980</w:t>
            </w:r>
          </w:p>
        </w:tc>
        <w:tc>
          <w:tcPr>
            <w:tcW w:w="1791" w:type="dxa"/>
          </w:tcPr>
          <w:p w14:paraId="42D1A486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7FA17D45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6AA3EBBA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E7444B8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B11ED" w14:paraId="03635C5F" w14:textId="3D7D027D" w:rsidTr="00DB11ED">
        <w:trPr>
          <w:trHeight w:val="284"/>
        </w:trPr>
        <w:tc>
          <w:tcPr>
            <w:tcW w:w="591" w:type="dxa"/>
          </w:tcPr>
          <w:p w14:paraId="1BFA43F5" w14:textId="4375F37E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687" w:type="dxa"/>
          </w:tcPr>
          <w:p w14:paraId="6B0DC214" w14:textId="144A91ED" w:rsidR="001E2163" w:rsidRDefault="00AE40C6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40C6">
              <w:rPr>
                <w:rFonts w:ascii="Arial" w:hAnsi="Arial" w:cs="Arial"/>
              </w:rPr>
              <w:t>KS ISO 16528-1:2007</w:t>
            </w:r>
          </w:p>
        </w:tc>
        <w:tc>
          <w:tcPr>
            <w:tcW w:w="1791" w:type="dxa"/>
          </w:tcPr>
          <w:p w14:paraId="09DB5C53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3F7194B9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19BB385F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FD53F5C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E2163" w14:paraId="072FF809" w14:textId="77777777" w:rsidTr="00DB11ED">
        <w:trPr>
          <w:trHeight w:val="284"/>
        </w:trPr>
        <w:tc>
          <w:tcPr>
            <w:tcW w:w="591" w:type="dxa"/>
          </w:tcPr>
          <w:p w14:paraId="3AFBC152" w14:textId="1DCD2E0A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87" w:type="dxa"/>
          </w:tcPr>
          <w:p w14:paraId="67342A39" w14:textId="103A5378" w:rsidR="001E2163" w:rsidRPr="00F64DE6" w:rsidRDefault="00AE40C6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40C6">
              <w:rPr>
                <w:rFonts w:ascii="Arial" w:hAnsi="Arial" w:cs="Arial"/>
              </w:rPr>
              <w:t>KS ISO 16528-2: 2007</w:t>
            </w:r>
          </w:p>
        </w:tc>
        <w:tc>
          <w:tcPr>
            <w:tcW w:w="1791" w:type="dxa"/>
          </w:tcPr>
          <w:p w14:paraId="5744B8D4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5" w:type="dxa"/>
          </w:tcPr>
          <w:p w14:paraId="02737AFB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23419A1F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26C24DD0" w14:textId="77777777" w:rsidR="001E2163" w:rsidRDefault="001E2163" w:rsidP="007D7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0"/>
      <w:footerReference w:type="defaul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418A" w14:textId="77777777" w:rsidR="005C037C" w:rsidRDefault="005C037C" w:rsidP="007D7BDE">
      <w:r>
        <w:separator/>
      </w:r>
    </w:p>
  </w:endnote>
  <w:endnote w:type="continuationSeparator" w:id="0">
    <w:p w14:paraId="4F12FD1D" w14:textId="77777777" w:rsidR="005C037C" w:rsidRDefault="005C037C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C080" w14:textId="77777777" w:rsidR="005C037C" w:rsidRDefault="005C037C" w:rsidP="007D7BDE">
      <w:r>
        <w:separator/>
      </w:r>
    </w:p>
  </w:footnote>
  <w:footnote w:type="continuationSeparator" w:id="0">
    <w:p w14:paraId="5F93EBFF" w14:textId="77777777" w:rsidR="005C037C" w:rsidRDefault="005C037C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7E220A"/>
    <w:multiLevelType w:val="hybridMultilevel"/>
    <w:tmpl w:val="B76883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16303035">
    <w:abstractNumId w:val="2"/>
  </w:num>
  <w:num w:numId="2" w16cid:durableId="476806187">
    <w:abstractNumId w:val="0"/>
  </w:num>
  <w:num w:numId="3" w16cid:durableId="786002268">
    <w:abstractNumId w:val="4"/>
  </w:num>
  <w:num w:numId="4" w16cid:durableId="1095708955">
    <w:abstractNumId w:val="3"/>
  </w:num>
  <w:num w:numId="5" w16cid:durableId="128608488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11059"/>
    <w:rsid w:val="000250FB"/>
    <w:rsid w:val="0003199D"/>
    <w:rsid w:val="00041973"/>
    <w:rsid w:val="00043F37"/>
    <w:rsid w:val="00074575"/>
    <w:rsid w:val="000A35DF"/>
    <w:rsid w:val="000A5E80"/>
    <w:rsid w:val="000C4E32"/>
    <w:rsid w:val="000D5B74"/>
    <w:rsid w:val="00103C02"/>
    <w:rsid w:val="00146B64"/>
    <w:rsid w:val="00154D57"/>
    <w:rsid w:val="00161F8F"/>
    <w:rsid w:val="001D112C"/>
    <w:rsid w:val="001E2163"/>
    <w:rsid w:val="002236B8"/>
    <w:rsid w:val="00226FF2"/>
    <w:rsid w:val="00241E4B"/>
    <w:rsid w:val="00242755"/>
    <w:rsid w:val="00282D9D"/>
    <w:rsid w:val="002C43DD"/>
    <w:rsid w:val="002E03CE"/>
    <w:rsid w:val="002E12DF"/>
    <w:rsid w:val="002E3F7C"/>
    <w:rsid w:val="00350BFA"/>
    <w:rsid w:val="0037216D"/>
    <w:rsid w:val="0039267C"/>
    <w:rsid w:val="003A2DFD"/>
    <w:rsid w:val="003C4A6C"/>
    <w:rsid w:val="003F2C4E"/>
    <w:rsid w:val="00402707"/>
    <w:rsid w:val="00452734"/>
    <w:rsid w:val="00506AFA"/>
    <w:rsid w:val="005965CF"/>
    <w:rsid w:val="005C037C"/>
    <w:rsid w:val="005D3E09"/>
    <w:rsid w:val="005E2F92"/>
    <w:rsid w:val="00680852"/>
    <w:rsid w:val="006D1153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10E69"/>
    <w:rsid w:val="00817830"/>
    <w:rsid w:val="008572A5"/>
    <w:rsid w:val="00877DFF"/>
    <w:rsid w:val="00891427"/>
    <w:rsid w:val="00893D7E"/>
    <w:rsid w:val="008B3FDD"/>
    <w:rsid w:val="00993BF6"/>
    <w:rsid w:val="009C774A"/>
    <w:rsid w:val="00A15AB7"/>
    <w:rsid w:val="00A87B44"/>
    <w:rsid w:val="00AB16F3"/>
    <w:rsid w:val="00AE40C6"/>
    <w:rsid w:val="00B04B5B"/>
    <w:rsid w:val="00B774AD"/>
    <w:rsid w:val="00B946CF"/>
    <w:rsid w:val="00BA0183"/>
    <w:rsid w:val="00BF6EDE"/>
    <w:rsid w:val="00C23675"/>
    <w:rsid w:val="00C352A5"/>
    <w:rsid w:val="00C734AC"/>
    <w:rsid w:val="00D711C5"/>
    <w:rsid w:val="00DB11ED"/>
    <w:rsid w:val="00DC7D31"/>
    <w:rsid w:val="00DE4B09"/>
    <w:rsid w:val="00E00478"/>
    <w:rsid w:val="00E1291B"/>
    <w:rsid w:val="00E41A20"/>
    <w:rsid w:val="00E67378"/>
    <w:rsid w:val="00E95213"/>
    <w:rsid w:val="00EB7875"/>
    <w:rsid w:val="00EC7E76"/>
    <w:rsid w:val="00EF7104"/>
    <w:rsid w:val="00F64DE6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Mercy Kang'wele Sila</cp:lastModifiedBy>
  <cp:revision>3</cp:revision>
  <dcterms:created xsi:type="dcterms:W3CDTF">2025-12-18T07:29:00Z</dcterms:created>
  <dcterms:modified xsi:type="dcterms:W3CDTF">2026-01-14T12:28:00Z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