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521" w14:textId="77777777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>APPENDIX DD</w:t>
      </w:r>
      <w:r w:rsidRPr="00556197"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br/>
      </w:r>
      <w:r w:rsidR="007D7BDE">
        <w:rPr>
          <w:color w:val="auto"/>
          <w:sz w:val="22"/>
          <w:szCs w:val="22"/>
        </w:rPr>
        <w:t>SYSTEMATIC REVIEW</w:t>
      </w:r>
      <w:r w:rsidR="007D7BDE" w:rsidRPr="00556197">
        <w:rPr>
          <w:color w:val="auto"/>
          <w:sz w:val="22"/>
          <w:szCs w:val="22"/>
        </w:rPr>
        <w:t xml:space="preserve"> FORM</w:t>
      </w:r>
      <w:bookmarkEnd w:id="0"/>
      <w:bookmarkEnd w:id="1"/>
      <w:bookmarkEnd w:id="2"/>
      <w:bookmarkEnd w:id="3"/>
      <w:bookmarkEnd w:id="4"/>
      <w:r w:rsidR="007D7BDE" w:rsidRPr="00556197" w:rsidDel="008E43BE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5612361" w14:textId="77777777" w:rsidR="007D7BDE" w:rsidRPr="00556197" w:rsidRDefault="007D7BDE" w:rsidP="007D7BDE"/>
    <w:p w14:paraId="0A972BC4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6476A46A" w14:textId="3366BEC7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CPR183</w:t>
      </w:r>
      <w:r w:rsidRPr="00556197">
        <w:rPr>
          <w:rFonts w:ascii="Arial" w:hAnsi="Arial" w:cs="Arial"/>
          <w:b/>
        </w:rPr>
        <w:t>/F1</w:t>
      </w:r>
      <w:r w:rsidR="00E24FE6">
        <w:rPr>
          <w:rFonts w:ascii="Arial" w:hAnsi="Arial" w:cs="Arial"/>
          <w:b/>
        </w:rPr>
        <w:t>4</w:t>
      </w:r>
    </w:p>
    <w:p w14:paraId="368E68C6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10564DD9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3962"/>
        <w:gridCol w:w="2910"/>
      </w:tblGrid>
      <w:tr w:rsidR="007D7BDE" w:rsidRPr="00556197" w14:paraId="6D49F8A6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01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771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Confirmation proposal</w:t>
            </w:r>
          </w:p>
        </w:tc>
      </w:tr>
      <w:tr w:rsidR="007D7BDE" w:rsidRPr="00556197" w14:paraId="0D94067E" w14:textId="77777777" w:rsidTr="00D4138E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E6E6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34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0A3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4CB50825" w14:textId="77777777" w:rsidTr="00FD405B">
        <w:trPr>
          <w:trHeight w:val="1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B1F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259" w14:textId="1D993DBA" w:rsidR="007D7BDE" w:rsidRPr="00556197" w:rsidRDefault="00E24FE6" w:rsidP="00FC097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E24FE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</w:t>
            </w:r>
            <w:r w:rsidR="00FC097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8A6" w14:textId="57D8AA48" w:rsidR="007D7BDE" w:rsidRPr="00556197" w:rsidRDefault="00E24FE6" w:rsidP="00FC097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E24FE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2026</w:t>
            </w:r>
          </w:p>
        </w:tc>
      </w:tr>
      <w:tr w:rsidR="007D7BDE" w:rsidRPr="00556197" w14:paraId="407217F7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3FD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4DE" w14:textId="77777777" w:rsidR="007D7BDE" w:rsidRPr="00556197" w:rsidRDefault="007D7BDE" w:rsidP="00FC097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</w:t>
            </w:r>
            <w:r w:rsidR="00FC0975">
              <w:rPr>
                <w:rFonts w:ascii="Arial" w:hAnsi="Arial" w:cs="Arial"/>
                <w:b/>
                <w:bCs/>
              </w:rPr>
              <w:t>tandards for the attention of Jacob Mutungi (</w:t>
            </w:r>
            <w:hyperlink r:id="rId7" w:history="1">
              <w:r w:rsidR="00FC0975" w:rsidRPr="006B4B69">
                <w:rPr>
                  <w:rStyle w:val="Hyperlink"/>
                  <w:rFonts w:ascii="Arial" w:hAnsi="Arial" w:cs="Arial"/>
                  <w:b/>
                  <w:bCs/>
                </w:rPr>
                <w:t>mutungij@kebs.org</w:t>
              </w:r>
            </w:hyperlink>
            <w:r w:rsidR="00FC0975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14:paraId="740E24D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BD1E507" w14:textId="77777777" w:rsidR="00E24FE6" w:rsidRPr="00E24FE6" w:rsidRDefault="00E24FE6" w:rsidP="00E24FE6">
      <w:pPr>
        <w:autoSpaceDE w:val="0"/>
        <w:autoSpaceDN w:val="0"/>
        <w:adjustRightInd w:val="0"/>
        <w:rPr>
          <w:rFonts w:ascii="Arial" w:hAnsi="Arial" w:cs="Arial"/>
        </w:rPr>
      </w:pPr>
      <w:r w:rsidRPr="00E24FE6">
        <w:rPr>
          <w:rFonts w:ascii="Arial" w:hAnsi="Arial" w:cs="Arial"/>
        </w:rPr>
        <w:t>The Kenya Bureau of Standards is in the process of reviewing the Kenya Standard(s) as detailed in the attached list of Kenya Standard(s) for Systematic Review.</w:t>
      </w:r>
    </w:p>
    <w:p w14:paraId="1E4C1762" w14:textId="77777777" w:rsidR="00E24FE6" w:rsidRPr="00E24FE6" w:rsidRDefault="00E24FE6" w:rsidP="00E24FE6">
      <w:pPr>
        <w:autoSpaceDE w:val="0"/>
        <w:autoSpaceDN w:val="0"/>
        <w:adjustRightInd w:val="0"/>
        <w:rPr>
          <w:rFonts w:ascii="Arial" w:hAnsi="Arial" w:cs="Arial"/>
        </w:rPr>
      </w:pPr>
    </w:p>
    <w:p w14:paraId="6829DC45" w14:textId="77777777" w:rsidR="00E24FE6" w:rsidRPr="00E24FE6" w:rsidRDefault="00E24FE6" w:rsidP="00E24FE6">
      <w:pPr>
        <w:autoSpaceDE w:val="0"/>
        <w:autoSpaceDN w:val="0"/>
        <w:adjustRightInd w:val="0"/>
        <w:rPr>
          <w:rFonts w:ascii="Arial" w:hAnsi="Arial" w:cs="Arial"/>
        </w:rPr>
      </w:pPr>
      <w:r w:rsidRPr="00E24FE6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28F442D2" w14:textId="77777777" w:rsidR="00E24FE6" w:rsidRPr="00E24FE6" w:rsidRDefault="00E24FE6" w:rsidP="00E24FE6">
      <w:pPr>
        <w:autoSpaceDE w:val="0"/>
        <w:autoSpaceDN w:val="0"/>
        <w:adjustRightInd w:val="0"/>
        <w:rPr>
          <w:rFonts w:ascii="Arial" w:hAnsi="Arial" w:cs="Arial"/>
        </w:rPr>
      </w:pPr>
    </w:p>
    <w:p w14:paraId="5F569D40" w14:textId="3DB44084" w:rsidR="007D7BDE" w:rsidRDefault="00E24FE6" w:rsidP="00E24FE6">
      <w:pPr>
        <w:autoSpaceDE w:val="0"/>
        <w:autoSpaceDN w:val="0"/>
        <w:adjustRightInd w:val="0"/>
        <w:rPr>
          <w:rFonts w:ascii="Arial" w:hAnsi="Arial" w:cs="Arial"/>
        </w:rPr>
      </w:pPr>
      <w:r w:rsidRPr="00E24FE6">
        <w:rPr>
          <w:rFonts w:ascii="Arial" w:hAnsi="Arial" w:cs="Arial"/>
        </w:rPr>
        <w:t xml:space="preserve">The Standard(s) are available at the Kenya Bureau of Standards Information Centre.  Please tick (mark) and </w:t>
      </w:r>
      <w:proofErr w:type="gramStart"/>
      <w:r w:rsidRPr="00E24FE6">
        <w:rPr>
          <w:rFonts w:ascii="Arial" w:hAnsi="Arial" w:cs="Arial"/>
        </w:rPr>
        <w:t>fill</w:t>
      </w:r>
      <w:proofErr w:type="gramEnd"/>
      <w:r w:rsidRPr="00E24FE6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119592BC" w14:textId="77777777" w:rsidR="00E24FE6" w:rsidRPr="00556197" w:rsidRDefault="00E24FE6" w:rsidP="00E24FE6">
      <w:pPr>
        <w:autoSpaceDE w:val="0"/>
        <w:autoSpaceDN w:val="0"/>
        <w:adjustRightInd w:val="0"/>
        <w:rPr>
          <w:rFonts w:ascii="Arial" w:hAnsi="Arial" w:cs="Arial"/>
        </w:rPr>
      </w:pPr>
    </w:p>
    <w:p w14:paraId="18DB7B84" w14:textId="77777777" w:rsidR="00FC0975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</w:t>
      </w:r>
      <w:r w:rsidR="00FC0975" w:rsidRPr="00556197">
        <w:rPr>
          <w:rFonts w:ascii="Arial" w:hAnsi="Arial" w:cs="Arial"/>
        </w:rPr>
        <w:t>):</w:t>
      </w:r>
    </w:p>
    <w:p w14:paraId="056DE1B9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ISO/TS 24179:2020 Kenya Standard — Human resource management — Occupational health and safety metrics, First Edition.</w:t>
      </w:r>
    </w:p>
    <w:p w14:paraId="637934C5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 10667-1:2020 Kenya Standard — Assessment service delivery — Procedures and methods to assess people in work and organizational settings — Part 1: Requirements for the client, Second Edition.</w:t>
      </w:r>
    </w:p>
    <w:p w14:paraId="3BEA5D1B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 10667-2:2020 Kenya Standard — Assessment service delivery — Procedures and methods to assess people in work and organizational settings — Part 2: Requirements for service providers, Second Edition.</w:t>
      </w:r>
    </w:p>
    <w:p w14:paraId="2902B219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ISO/TS 30423:2021 Kenya Standard — Human resource management — Compliance and ethics metrics cluster, First Edition.</w:t>
      </w:r>
    </w:p>
    <w:p w14:paraId="67772207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 xml:space="preserve">KS ISO/TS 30425:2021 Kenya Standard — Human resource management — Workforce availability metrics cluster, First Edition. </w:t>
      </w:r>
    </w:p>
    <w:p w14:paraId="6061422E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ISO/TS 30427:2021 Kenya Standard — Human resource management — Costs metrics cluster, First Edition.</w:t>
      </w:r>
    </w:p>
    <w:p w14:paraId="0E34BE2C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ISO/TS 24178:2021 Kenya Standard — Human resource management — Organizational culture metrics cluster, First Edition</w:t>
      </w:r>
    </w:p>
    <w:p w14:paraId="18706133" w14:textId="77777777" w:rsidR="002C71EE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ISO/TS 30431:2021 Kenya Standard — Human resource management — Leadership metrics cluster, First Edition.</w:t>
      </w:r>
    </w:p>
    <w:p w14:paraId="6B481FD4" w14:textId="3B3AAB51" w:rsidR="007426C0" w:rsidRPr="002C71EE" w:rsidRDefault="002C71EE" w:rsidP="002C71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C71EE">
        <w:rPr>
          <w:rFonts w:ascii="Arial" w:hAnsi="Arial" w:cs="Arial"/>
        </w:rPr>
        <w:t>KS ISO/TS 30432:2021 Kenya Standard — Human resource management — Workforce productivity metrics cluster, First Edition.</w:t>
      </w:r>
      <w:r w:rsidR="007426C0" w:rsidRPr="002C71EE">
        <w:rPr>
          <w:rFonts w:ascii="Arial" w:hAnsi="Arial" w:cs="Arial"/>
        </w:rPr>
        <w:tab/>
      </w:r>
    </w:p>
    <w:p w14:paraId="48FA030C" w14:textId="77777777" w:rsidR="00FC0975" w:rsidRDefault="00FC0975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A53C717" w14:textId="77777777" w:rsidR="007D7BDE" w:rsidRPr="00D95331" w:rsidRDefault="007D7BDE" w:rsidP="007D7BD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95331">
        <w:rPr>
          <w:rFonts w:ascii="Arial" w:hAnsi="Arial" w:cs="Arial"/>
          <w:b/>
        </w:rPr>
        <w:t>(In case of confirmation you may use one form, otherwise Fill in for each standard separately)</w:t>
      </w:r>
    </w:p>
    <w:p w14:paraId="3B098E2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9E5A7B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6E02205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A0570A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C3810F2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4DEEE67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10D0354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4B459704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7BF44B4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0FBB757A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lastRenderedPageBreak/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259672C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17BD411D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277B7B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55CF106A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3B589CE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674486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0A63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2796DA7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14717C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7F695C94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081187B0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238F306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7407B24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0FC0F5DD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A4D455" w14:textId="77777777" w:rsidR="007D7BDE" w:rsidRPr="0007753E" w:rsidRDefault="007D7BDE" w:rsidP="0007753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sectPr w:rsidR="007D7BDE" w:rsidRPr="0007753E" w:rsidSect="009D2A1A">
      <w:footerReference w:type="default" r:id="rId8"/>
      <w:headerReference w:type="firs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A963" w14:textId="77777777" w:rsidR="0050034D" w:rsidRDefault="0050034D" w:rsidP="007D7BDE">
      <w:r>
        <w:separator/>
      </w:r>
    </w:p>
  </w:endnote>
  <w:endnote w:type="continuationSeparator" w:id="0">
    <w:p w14:paraId="3DD501D8" w14:textId="77777777" w:rsidR="0050034D" w:rsidRDefault="0050034D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08BF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426C0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426C0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5D644AAC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CAFC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426C0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426C0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39DFE4DD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4D90" w14:textId="77777777" w:rsidR="0050034D" w:rsidRDefault="0050034D" w:rsidP="007D7BDE">
      <w:r>
        <w:separator/>
      </w:r>
    </w:p>
  </w:footnote>
  <w:footnote w:type="continuationSeparator" w:id="0">
    <w:p w14:paraId="744AF3EA" w14:textId="77777777" w:rsidR="0050034D" w:rsidRDefault="0050034D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3453" w14:textId="77777777" w:rsidR="0007753E" w:rsidRDefault="0007753E">
    <w:pPr>
      <w:pStyle w:val="Header"/>
    </w:pPr>
    <w:r w:rsidRPr="006C2635">
      <w:rPr>
        <w:rFonts w:ascii="Arial Narrow" w:hAnsi="Arial Narrow" w:cs="Arial"/>
        <w:b/>
        <w:noProof/>
        <w:color w:val="0070C0"/>
        <w:sz w:val="24"/>
      </w:rPr>
      <w:drawing>
        <wp:inline distT="0" distB="0" distL="0" distR="0" wp14:anchorId="0A24A8C2" wp14:editId="3B6AD2E6">
          <wp:extent cx="2533650" cy="692150"/>
          <wp:effectExtent l="0" t="0" r="0" b="0"/>
          <wp:docPr id="1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BS logo - Standards for Quality 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A3081B"/>
    <w:multiLevelType w:val="hybridMultilevel"/>
    <w:tmpl w:val="5F98A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30488624">
    <w:abstractNumId w:val="1"/>
  </w:num>
  <w:num w:numId="2" w16cid:durableId="843014592">
    <w:abstractNumId w:val="0"/>
  </w:num>
  <w:num w:numId="3" w16cid:durableId="1076247293">
    <w:abstractNumId w:val="4"/>
  </w:num>
  <w:num w:numId="4" w16cid:durableId="962615246">
    <w:abstractNumId w:val="2"/>
  </w:num>
  <w:num w:numId="5" w16cid:durableId="214330606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3F37"/>
    <w:rsid w:val="00074575"/>
    <w:rsid w:val="0007753E"/>
    <w:rsid w:val="000A35DF"/>
    <w:rsid w:val="000A54C3"/>
    <w:rsid w:val="000A5E80"/>
    <w:rsid w:val="000C4E32"/>
    <w:rsid w:val="00103C02"/>
    <w:rsid w:val="00146B64"/>
    <w:rsid w:val="00154D57"/>
    <w:rsid w:val="00161F8F"/>
    <w:rsid w:val="001D112C"/>
    <w:rsid w:val="002236B8"/>
    <w:rsid w:val="00226FF2"/>
    <w:rsid w:val="00241E4B"/>
    <w:rsid w:val="00242755"/>
    <w:rsid w:val="00282D9D"/>
    <w:rsid w:val="002C71EE"/>
    <w:rsid w:val="002E03CE"/>
    <w:rsid w:val="002E12DF"/>
    <w:rsid w:val="002E3F7C"/>
    <w:rsid w:val="00350BFA"/>
    <w:rsid w:val="0037216D"/>
    <w:rsid w:val="003A2DFD"/>
    <w:rsid w:val="003C4A6C"/>
    <w:rsid w:val="003F2C4E"/>
    <w:rsid w:val="00402707"/>
    <w:rsid w:val="00452734"/>
    <w:rsid w:val="0050034D"/>
    <w:rsid w:val="00506AFA"/>
    <w:rsid w:val="005965CF"/>
    <w:rsid w:val="005D3E09"/>
    <w:rsid w:val="005E2F92"/>
    <w:rsid w:val="00603DD8"/>
    <w:rsid w:val="00680852"/>
    <w:rsid w:val="00703562"/>
    <w:rsid w:val="00703CB1"/>
    <w:rsid w:val="00710322"/>
    <w:rsid w:val="007244A4"/>
    <w:rsid w:val="007426C0"/>
    <w:rsid w:val="007505E1"/>
    <w:rsid w:val="00756E07"/>
    <w:rsid w:val="00766B20"/>
    <w:rsid w:val="0079730B"/>
    <w:rsid w:val="007D5546"/>
    <w:rsid w:val="007D7BDE"/>
    <w:rsid w:val="00810E69"/>
    <w:rsid w:val="008572A5"/>
    <w:rsid w:val="00877DFF"/>
    <w:rsid w:val="00893D7E"/>
    <w:rsid w:val="008B3FDD"/>
    <w:rsid w:val="008E2517"/>
    <w:rsid w:val="009156E8"/>
    <w:rsid w:val="00A15AB7"/>
    <w:rsid w:val="00A87B44"/>
    <w:rsid w:val="00AB16F3"/>
    <w:rsid w:val="00B04B5B"/>
    <w:rsid w:val="00BA0183"/>
    <w:rsid w:val="00BC7E91"/>
    <w:rsid w:val="00BF6EDE"/>
    <w:rsid w:val="00C23675"/>
    <w:rsid w:val="00C734AC"/>
    <w:rsid w:val="00D711C5"/>
    <w:rsid w:val="00D95331"/>
    <w:rsid w:val="00DC7D31"/>
    <w:rsid w:val="00DE4B09"/>
    <w:rsid w:val="00E00478"/>
    <w:rsid w:val="00E1291B"/>
    <w:rsid w:val="00E24FE6"/>
    <w:rsid w:val="00E41A20"/>
    <w:rsid w:val="00E641C6"/>
    <w:rsid w:val="00E67378"/>
    <w:rsid w:val="00EB659C"/>
    <w:rsid w:val="00EB7875"/>
    <w:rsid w:val="00EF7104"/>
    <w:rsid w:val="00F701C2"/>
    <w:rsid w:val="00F87FFB"/>
    <w:rsid w:val="00FC0975"/>
    <w:rsid w:val="00FD405B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B23D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tungij@keb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Mutungi Jacob</cp:lastModifiedBy>
  <cp:revision>7</cp:revision>
  <dcterms:created xsi:type="dcterms:W3CDTF">2021-10-14T10:36:00Z</dcterms:created>
  <dcterms:modified xsi:type="dcterms:W3CDTF">2026-01-20T07:35:00Z</dcterms:modified>
</cp:coreProperties>
</file>