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A5556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A55565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A55565" w:rsidRPr="00556197" w14:paraId="7DB7B20B" w14:textId="77777777" w:rsidTr="00A55565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A55565" w:rsidRPr="00556197" w:rsidRDefault="00A55565" w:rsidP="00A5556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1CFD8FD9" w:rsidR="00A55565" w:rsidRPr="00556197" w:rsidRDefault="00A55565" w:rsidP="00A5556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CAB3179" w:rsidR="00A55565" w:rsidRPr="00556197" w:rsidRDefault="00B95766" w:rsidP="00A5556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A55565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03EC9CCA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This form shall be filled, signed and returned to Kenya Bureau of Standards for the attention of</w:t>
            </w:r>
            <w:r w:rsidR="001908D9">
              <w:rPr>
                <w:rFonts w:ascii="Arial" w:hAnsi="Arial" w:cs="Arial"/>
                <w:b/>
                <w:bCs/>
              </w:rPr>
              <w:t xml:space="preserve"> </w:t>
            </w:r>
            <w:r w:rsidR="0085380E">
              <w:rPr>
                <w:rFonts w:ascii="Arial" w:hAnsi="Arial" w:cs="Arial"/>
                <w:b/>
                <w:bCs/>
              </w:rPr>
              <w:t>Juma Boniface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85380E">
              <w:rPr>
                <w:rFonts w:ascii="Arial" w:hAnsi="Arial" w:cs="Arial"/>
                <w:b/>
                <w:bCs/>
              </w:rPr>
              <w:t>jumab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B496A21" w14:textId="77777777" w:rsidR="0085380E" w:rsidRPr="0085380E" w:rsidRDefault="0085380E" w:rsidP="008538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380E">
        <w:rPr>
          <w:rFonts w:ascii="Arial" w:hAnsi="Arial" w:cs="Arial"/>
          <w:sz w:val="22"/>
          <w:szCs w:val="22"/>
        </w:rPr>
        <w:t>KS 2349:2012</w:t>
      </w:r>
      <w:r w:rsidRPr="0085380E">
        <w:rPr>
          <w:rFonts w:ascii="Arial" w:hAnsi="Arial" w:cs="Arial"/>
          <w:sz w:val="22"/>
          <w:szCs w:val="22"/>
        </w:rPr>
        <w:tab/>
        <w:t xml:space="preserve"> Kenya Standard — Orthosis — Specification </w:t>
      </w:r>
    </w:p>
    <w:p w14:paraId="4A796401" w14:textId="77777777" w:rsidR="0085380E" w:rsidRPr="0085380E" w:rsidRDefault="0085380E" w:rsidP="008538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5380E">
        <w:rPr>
          <w:rFonts w:ascii="Arial" w:hAnsi="Arial" w:cs="Arial"/>
          <w:sz w:val="22"/>
          <w:szCs w:val="22"/>
        </w:rPr>
        <w:t>KS ISO 11334-1:2007</w:t>
      </w:r>
      <w:r w:rsidRPr="0085380E">
        <w:rPr>
          <w:rFonts w:ascii="Arial" w:hAnsi="Arial" w:cs="Arial"/>
          <w:sz w:val="22"/>
          <w:szCs w:val="22"/>
        </w:rPr>
        <w:tab/>
        <w:t xml:space="preserve"> Kenya Standard — Assistive products for walking manipulated by one arm — Requirements and test methods Part 1: Elbow crutches </w:t>
      </w:r>
    </w:p>
    <w:p w14:paraId="1634B938" w14:textId="2DFE697C" w:rsidR="001908D9" w:rsidRPr="00D61B6F" w:rsidRDefault="0085380E" w:rsidP="008538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380E">
        <w:rPr>
          <w:rFonts w:ascii="Arial" w:hAnsi="Arial" w:cs="Arial"/>
          <w:sz w:val="22"/>
          <w:szCs w:val="22"/>
        </w:rPr>
        <w:t>KS ISO 11334-4:1999</w:t>
      </w:r>
      <w:r w:rsidRPr="0085380E">
        <w:rPr>
          <w:rFonts w:ascii="Arial" w:hAnsi="Arial" w:cs="Arial"/>
          <w:sz w:val="22"/>
          <w:szCs w:val="22"/>
        </w:rPr>
        <w:tab/>
        <w:t xml:space="preserve"> Kenya Standard — Assistive products for walking manipulated by one arm — Requirements and test methods Part 4: Walking sticks with three or more legs</w:t>
      </w:r>
    </w:p>
    <w:p w14:paraId="7373CFD4" w14:textId="58A5E080" w:rsidR="00D61B6F" w:rsidRPr="0085380E" w:rsidRDefault="00D61B6F" w:rsidP="008538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1B6F">
        <w:rPr>
          <w:rFonts w:ascii="Arial" w:hAnsi="Arial" w:cs="Arial"/>
        </w:rPr>
        <w:t>KS 1320:2010</w:t>
      </w:r>
      <w:r w:rsidRPr="00D61B6F">
        <w:rPr>
          <w:rFonts w:ascii="Arial" w:hAnsi="Arial" w:cs="Arial"/>
        </w:rPr>
        <w:tab/>
        <w:t>Wheelchairs Foldable and Fixed Wheelchairs Specification Second Edition</w:t>
      </w:r>
    </w:p>
    <w:p w14:paraId="76D51EF9" w14:textId="77777777" w:rsidR="001908D9" w:rsidRDefault="001908D9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E044F94" w:rsidR="007D7BDE" w:rsidRPr="00EB46A7" w:rsidRDefault="007D7BDE" w:rsidP="00EB46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46A7"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109887AA" w:rsidR="00E33A80" w:rsidRPr="00630E1C" w:rsidRDefault="0085380E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80E">
              <w:rPr>
                <w:rFonts w:ascii="Arial" w:hAnsi="Arial" w:cs="Arial"/>
                <w:sz w:val="22"/>
                <w:szCs w:val="22"/>
              </w:rPr>
              <w:t>KS 2349:2012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6B8EC9DC" w:rsidR="00E33A80" w:rsidRPr="00630E1C" w:rsidRDefault="0085380E" w:rsidP="00F746A7">
            <w:pPr>
              <w:rPr>
                <w:rFonts w:ascii="Arial" w:hAnsi="Arial" w:cs="Arial"/>
              </w:rPr>
            </w:pPr>
            <w:r w:rsidRPr="0085380E">
              <w:rPr>
                <w:rFonts w:ascii="Arial" w:hAnsi="Arial" w:cs="Arial"/>
                <w:sz w:val="22"/>
                <w:szCs w:val="22"/>
              </w:rPr>
              <w:t>KS ISO 11334-1:2007</w:t>
            </w:r>
            <w:r w:rsidRPr="0085380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B46A7" w:rsidRPr="00630E1C" w14:paraId="3591F84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3BA" w14:textId="77777777" w:rsidR="00EB46A7" w:rsidRPr="00630E1C" w:rsidRDefault="00EB46A7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9217" w14:textId="0CBD1F28" w:rsidR="00EB46A7" w:rsidRPr="00EB46A7" w:rsidRDefault="0085380E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85380E">
              <w:rPr>
                <w:rFonts w:ascii="Arial" w:hAnsi="Arial" w:cs="Arial"/>
                <w:sz w:val="22"/>
                <w:szCs w:val="22"/>
              </w:rPr>
              <w:t>KS ISO 11334-4:1999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6F4D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282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581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95" w14:textId="77777777" w:rsidR="00EB46A7" w:rsidRPr="00630E1C" w:rsidRDefault="00EB46A7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D61B6F" w:rsidRPr="00630E1C" w14:paraId="093097C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183" w14:textId="77777777" w:rsidR="00D61B6F" w:rsidRPr="00630E1C" w:rsidRDefault="00D61B6F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291C" w14:textId="283AD973" w:rsidR="00D61B6F" w:rsidRPr="0085380E" w:rsidRDefault="00D61B6F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D61B6F">
              <w:rPr>
                <w:rFonts w:ascii="Arial" w:hAnsi="Arial" w:cs="Arial"/>
              </w:rPr>
              <w:t>KS 1320:2010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EBB1" w14:textId="77777777" w:rsidR="00D61B6F" w:rsidRPr="00630E1C" w:rsidRDefault="00D61B6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C671" w14:textId="77777777" w:rsidR="00D61B6F" w:rsidRPr="00630E1C" w:rsidRDefault="00D61B6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DD2E" w14:textId="77777777" w:rsidR="00D61B6F" w:rsidRPr="00630E1C" w:rsidRDefault="00D61B6F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891" w14:textId="77777777" w:rsidR="00D61B6F" w:rsidRPr="00630E1C" w:rsidRDefault="00D61B6F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7FC50820" w14:textId="77777777" w:rsidR="00097164" w:rsidRDefault="00097164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88480D1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1DA2290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A9033AB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5D879D73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FC10BFC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3980C06" w14:textId="77777777" w:rsidR="0085380E" w:rsidRDefault="0085380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4BF57BB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DA2BAC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7DD" w14:textId="77777777" w:rsidR="00DA2BAC" w:rsidRDefault="00DA2BAC" w:rsidP="007D7BDE">
      <w:r>
        <w:separator/>
      </w:r>
    </w:p>
  </w:endnote>
  <w:endnote w:type="continuationSeparator" w:id="0">
    <w:p w14:paraId="358C05EC" w14:textId="77777777" w:rsidR="00DA2BAC" w:rsidRDefault="00DA2BAC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CC1B" w14:textId="77777777" w:rsidR="00DA2BAC" w:rsidRDefault="00DA2BAC" w:rsidP="007D7BDE">
      <w:r>
        <w:separator/>
      </w:r>
    </w:p>
  </w:footnote>
  <w:footnote w:type="continuationSeparator" w:id="0">
    <w:p w14:paraId="6F8909B0" w14:textId="77777777" w:rsidR="00DA2BAC" w:rsidRDefault="00DA2BAC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232A1"/>
    <w:multiLevelType w:val="hybridMultilevel"/>
    <w:tmpl w:val="2EE4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B15F49"/>
    <w:multiLevelType w:val="hybridMultilevel"/>
    <w:tmpl w:val="675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B7F9A"/>
    <w:multiLevelType w:val="hybridMultilevel"/>
    <w:tmpl w:val="26B2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89B"/>
    <w:multiLevelType w:val="hybridMultilevel"/>
    <w:tmpl w:val="3C4A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3"/>
  </w:num>
  <w:num w:numId="2" w16cid:durableId="1639339986">
    <w:abstractNumId w:val="0"/>
  </w:num>
  <w:num w:numId="3" w16cid:durableId="1171945868">
    <w:abstractNumId w:val="9"/>
  </w:num>
  <w:num w:numId="4" w16cid:durableId="772701614">
    <w:abstractNumId w:val="4"/>
  </w:num>
  <w:num w:numId="5" w16cid:durableId="1649359497">
    <w:abstractNumId w:val="6"/>
  </w:num>
  <w:num w:numId="6" w16cid:durableId="983973117">
    <w:abstractNumId w:val="8"/>
  </w:num>
  <w:num w:numId="7" w16cid:durableId="443383555">
    <w:abstractNumId w:val="2"/>
  </w:num>
  <w:num w:numId="8" w16cid:durableId="72624014">
    <w:abstractNumId w:val="1"/>
  </w:num>
  <w:num w:numId="9" w16cid:durableId="732461065">
    <w:abstractNumId w:val="7"/>
  </w:num>
  <w:num w:numId="10" w16cid:durableId="23324365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43F37"/>
    <w:rsid w:val="00074575"/>
    <w:rsid w:val="00097164"/>
    <w:rsid w:val="000A35DF"/>
    <w:rsid w:val="000A5E80"/>
    <w:rsid w:val="000C4E32"/>
    <w:rsid w:val="00103C02"/>
    <w:rsid w:val="00141F91"/>
    <w:rsid w:val="00146B64"/>
    <w:rsid w:val="00154D57"/>
    <w:rsid w:val="00161F8F"/>
    <w:rsid w:val="001908D9"/>
    <w:rsid w:val="001D112C"/>
    <w:rsid w:val="002236B8"/>
    <w:rsid w:val="00226FF2"/>
    <w:rsid w:val="00241E4B"/>
    <w:rsid w:val="00242755"/>
    <w:rsid w:val="00282D9D"/>
    <w:rsid w:val="00290FCF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80852"/>
    <w:rsid w:val="00703562"/>
    <w:rsid w:val="00703CB1"/>
    <w:rsid w:val="00710322"/>
    <w:rsid w:val="007244A4"/>
    <w:rsid w:val="007505E1"/>
    <w:rsid w:val="00756E07"/>
    <w:rsid w:val="00766B20"/>
    <w:rsid w:val="00784575"/>
    <w:rsid w:val="007D5546"/>
    <w:rsid w:val="007D7129"/>
    <w:rsid w:val="007D7BDE"/>
    <w:rsid w:val="00810E69"/>
    <w:rsid w:val="0085380E"/>
    <w:rsid w:val="008572A5"/>
    <w:rsid w:val="00877DFF"/>
    <w:rsid w:val="00893D7E"/>
    <w:rsid w:val="008B3FDD"/>
    <w:rsid w:val="00963396"/>
    <w:rsid w:val="00A15AB7"/>
    <w:rsid w:val="00A55565"/>
    <w:rsid w:val="00A63AAC"/>
    <w:rsid w:val="00A87B44"/>
    <w:rsid w:val="00AB16F3"/>
    <w:rsid w:val="00B04B5B"/>
    <w:rsid w:val="00B34093"/>
    <w:rsid w:val="00B95766"/>
    <w:rsid w:val="00BA0183"/>
    <w:rsid w:val="00BF6EDE"/>
    <w:rsid w:val="00C23675"/>
    <w:rsid w:val="00C734AC"/>
    <w:rsid w:val="00D12D41"/>
    <w:rsid w:val="00D61B6F"/>
    <w:rsid w:val="00D711C5"/>
    <w:rsid w:val="00DA2BAC"/>
    <w:rsid w:val="00DC7D31"/>
    <w:rsid w:val="00DE4B09"/>
    <w:rsid w:val="00E00478"/>
    <w:rsid w:val="00E1291B"/>
    <w:rsid w:val="00E24E0A"/>
    <w:rsid w:val="00E25CCB"/>
    <w:rsid w:val="00E33A80"/>
    <w:rsid w:val="00E41A20"/>
    <w:rsid w:val="00E67378"/>
    <w:rsid w:val="00E92CD8"/>
    <w:rsid w:val="00EB46A7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12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