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C2E1737" w14:textId="77777777" w:rsidTr="0037310F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37310F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37310F" w:rsidRPr="00556197" w14:paraId="7DB7B20B" w14:textId="77777777" w:rsidTr="0037310F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37310F" w:rsidRPr="00556197" w:rsidRDefault="0037310F" w:rsidP="0037310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7C473253" w:rsidR="0037310F" w:rsidRPr="00556197" w:rsidRDefault="0037310F" w:rsidP="0037310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17D0A21A" w:rsidR="0037310F" w:rsidRPr="00556197" w:rsidRDefault="00C62D3B" w:rsidP="0037310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37310F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33C83AB2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097164">
              <w:rPr>
                <w:rFonts w:ascii="Arial" w:hAnsi="Arial" w:cs="Arial"/>
                <w:b/>
                <w:bCs/>
              </w:rPr>
              <w:t>Moses Matheka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097164">
              <w:rPr>
                <w:rFonts w:ascii="Arial" w:hAnsi="Arial" w:cs="Arial"/>
                <w:b/>
                <w:bCs/>
              </w:rPr>
              <w:t>mathekam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4429AB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72A3D3EC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8484556" w14:textId="77777777" w:rsidR="00097164" w:rsidRPr="00097164" w:rsidRDefault="00097164" w:rsidP="0009716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97164">
        <w:rPr>
          <w:rFonts w:ascii="Arial" w:hAnsi="Arial" w:cs="Arial"/>
          <w:sz w:val="22"/>
          <w:szCs w:val="22"/>
        </w:rPr>
        <w:t>KS 1814:2019 Kenya Standard — Biomass stoves — Performance requirements, Fourth Edition</w:t>
      </w:r>
    </w:p>
    <w:p w14:paraId="01C36066" w14:textId="5798B07C" w:rsidR="00290FCF" w:rsidRPr="00290FCF" w:rsidRDefault="00097164" w:rsidP="0009716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97164">
        <w:rPr>
          <w:rFonts w:ascii="Arial" w:hAnsi="Arial" w:cs="Arial"/>
          <w:sz w:val="22"/>
          <w:szCs w:val="22"/>
        </w:rPr>
        <w:t>KS ISO 19867-1:2018 Kenya Standard — Clean cookstoves and clean cooking solutions — Harmonized laboratory test protocols Part 1: Standard test sequence for emissions and performance, safety and durability, First Edition</w:t>
      </w:r>
      <w:r w:rsidR="00290FCF" w:rsidRPr="00290FCF">
        <w:rPr>
          <w:rFonts w:ascii="Arial" w:hAnsi="Arial" w:cs="Arial"/>
          <w:sz w:val="22"/>
          <w:szCs w:val="22"/>
        </w:rPr>
        <w:t>.</w:t>
      </w:r>
    </w:p>
    <w:p w14:paraId="7B6D91C0" w14:textId="77777777" w:rsidR="00290FCF" w:rsidRDefault="00290FCF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2DB8E9EB" w:rsidR="00E33A80" w:rsidRPr="00630E1C" w:rsidRDefault="00097164" w:rsidP="00E33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7164">
              <w:rPr>
                <w:rFonts w:ascii="Arial" w:hAnsi="Arial" w:cs="Arial"/>
                <w:sz w:val="22"/>
                <w:szCs w:val="22"/>
              </w:rPr>
              <w:t>KS 1814:2019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33A80" w:rsidRPr="00630E1C" w14:paraId="53350FC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7CE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C643" w14:textId="4AAE0FB5" w:rsidR="00E33A80" w:rsidRPr="00630E1C" w:rsidRDefault="00097164" w:rsidP="00F746A7">
            <w:pPr>
              <w:rPr>
                <w:rFonts w:ascii="Arial" w:hAnsi="Arial" w:cs="Arial"/>
              </w:rPr>
            </w:pPr>
            <w:r w:rsidRPr="00097164">
              <w:rPr>
                <w:rFonts w:ascii="Arial" w:hAnsi="Arial" w:cs="Arial"/>
                <w:sz w:val="22"/>
                <w:szCs w:val="22"/>
              </w:rPr>
              <w:t>KS ISO 19867-1:2018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CAB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6E4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71B0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2F7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7B32C55B" w14:textId="77777777" w:rsidR="00290FCF" w:rsidRDefault="00290FCF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A00300D" w14:textId="77777777" w:rsidR="00097164" w:rsidRDefault="00097164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CC54FFE" w14:textId="77777777" w:rsidR="00097164" w:rsidRDefault="00097164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8463B5F" w14:textId="77777777" w:rsidR="00097164" w:rsidRDefault="00097164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6812407" w14:textId="77777777" w:rsidR="00097164" w:rsidRDefault="00097164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7B69ECD" w14:textId="77777777" w:rsidR="00097164" w:rsidRDefault="00097164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308B919" w14:textId="77777777" w:rsidR="00097164" w:rsidRDefault="00097164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19A1872" w14:textId="77777777" w:rsidR="00097164" w:rsidRDefault="00097164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347E43F" w14:textId="77777777" w:rsidR="00097164" w:rsidRDefault="00097164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FC50820" w14:textId="77777777" w:rsidR="00097164" w:rsidRDefault="00097164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B5A916" w14:textId="77777777" w:rsidR="00097164" w:rsidRDefault="00097164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4A88BFCC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4B99056E" w14:textId="77777777"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sectPr w:rsidR="007D7BDE" w:rsidSect="005C6C81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81F5" w14:textId="77777777" w:rsidR="005C6C81" w:rsidRDefault="005C6C81" w:rsidP="007D7BDE">
      <w:r>
        <w:separator/>
      </w:r>
    </w:p>
  </w:endnote>
  <w:endnote w:type="continuationSeparator" w:id="0">
    <w:p w14:paraId="104AF6AB" w14:textId="77777777" w:rsidR="005C6C81" w:rsidRDefault="005C6C81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1CA6" w14:textId="77777777" w:rsidR="005C6C81" w:rsidRDefault="005C6C81" w:rsidP="007D7BDE">
      <w:r>
        <w:separator/>
      </w:r>
    </w:p>
  </w:footnote>
  <w:footnote w:type="continuationSeparator" w:id="0">
    <w:p w14:paraId="15EA56F1" w14:textId="77777777" w:rsidR="005C6C81" w:rsidRDefault="005C6C81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B789B"/>
    <w:multiLevelType w:val="hybridMultilevel"/>
    <w:tmpl w:val="3C4A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2"/>
  </w:num>
  <w:num w:numId="2" w16cid:durableId="1639339986">
    <w:abstractNumId w:val="0"/>
  </w:num>
  <w:num w:numId="3" w16cid:durableId="1171945868">
    <w:abstractNumId w:val="6"/>
  </w:num>
  <w:num w:numId="4" w16cid:durableId="772701614">
    <w:abstractNumId w:val="3"/>
  </w:num>
  <w:num w:numId="5" w16cid:durableId="1649359497">
    <w:abstractNumId w:val="4"/>
  </w:num>
  <w:num w:numId="6" w16cid:durableId="983973117">
    <w:abstractNumId w:val="5"/>
  </w:num>
  <w:num w:numId="7" w16cid:durableId="44338355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3199D"/>
    <w:rsid w:val="00041973"/>
    <w:rsid w:val="00043F37"/>
    <w:rsid w:val="00074575"/>
    <w:rsid w:val="00097164"/>
    <w:rsid w:val="000A35DF"/>
    <w:rsid w:val="000A5E80"/>
    <w:rsid w:val="000C4E32"/>
    <w:rsid w:val="00103C02"/>
    <w:rsid w:val="00141F91"/>
    <w:rsid w:val="00146B64"/>
    <w:rsid w:val="00154D57"/>
    <w:rsid w:val="00161F8F"/>
    <w:rsid w:val="001D112C"/>
    <w:rsid w:val="002236B8"/>
    <w:rsid w:val="00226FF2"/>
    <w:rsid w:val="00241E4B"/>
    <w:rsid w:val="00242755"/>
    <w:rsid w:val="00282D9D"/>
    <w:rsid w:val="00290FCF"/>
    <w:rsid w:val="002E03CE"/>
    <w:rsid w:val="002E12DF"/>
    <w:rsid w:val="002E3F7C"/>
    <w:rsid w:val="00350BFA"/>
    <w:rsid w:val="0037216D"/>
    <w:rsid w:val="0037310F"/>
    <w:rsid w:val="003A2DFD"/>
    <w:rsid w:val="003C4A6C"/>
    <w:rsid w:val="003F2C4E"/>
    <w:rsid w:val="00402707"/>
    <w:rsid w:val="00452734"/>
    <w:rsid w:val="00506AFA"/>
    <w:rsid w:val="005965CF"/>
    <w:rsid w:val="005C6C81"/>
    <w:rsid w:val="005D3435"/>
    <w:rsid w:val="005D3E09"/>
    <w:rsid w:val="005E2F92"/>
    <w:rsid w:val="00680852"/>
    <w:rsid w:val="00703562"/>
    <w:rsid w:val="00703CB1"/>
    <w:rsid w:val="00710322"/>
    <w:rsid w:val="007244A4"/>
    <w:rsid w:val="007505E1"/>
    <w:rsid w:val="00756E07"/>
    <w:rsid w:val="00766B20"/>
    <w:rsid w:val="00784575"/>
    <w:rsid w:val="007D5546"/>
    <w:rsid w:val="007D7129"/>
    <w:rsid w:val="007D7BDE"/>
    <w:rsid w:val="00810E69"/>
    <w:rsid w:val="008572A5"/>
    <w:rsid w:val="00877DFF"/>
    <w:rsid w:val="00893D7E"/>
    <w:rsid w:val="008B3FDD"/>
    <w:rsid w:val="00A15AB7"/>
    <w:rsid w:val="00A63AAC"/>
    <w:rsid w:val="00A87B44"/>
    <w:rsid w:val="00AB16F3"/>
    <w:rsid w:val="00B04B5B"/>
    <w:rsid w:val="00BA0183"/>
    <w:rsid w:val="00BF6EDE"/>
    <w:rsid w:val="00C1168A"/>
    <w:rsid w:val="00C23675"/>
    <w:rsid w:val="00C62D3B"/>
    <w:rsid w:val="00C734AC"/>
    <w:rsid w:val="00D711C5"/>
    <w:rsid w:val="00DC7D31"/>
    <w:rsid w:val="00DE4B09"/>
    <w:rsid w:val="00E00478"/>
    <w:rsid w:val="00E1291B"/>
    <w:rsid w:val="00E25CCB"/>
    <w:rsid w:val="00E33A80"/>
    <w:rsid w:val="00E41A20"/>
    <w:rsid w:val="00E67378"/>
    <w:rsid w:val="00EB7875"/>
    <w:rsid w:val="00EF484F"/>
    <w:rsid w:val="00EF6812"/>
    <w:rsid w:val="00EF7104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8</cp:revision>
  <dcterms:created xsi:type="dcterms:W3CDTF">2024-01-24T11:46:00Z</dcterms:created>
  <dcterms:modified xsi:type="dcterms:W3CDTF">2024-01-29T13:23:00Z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